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B34" w:rsidRDefault="00FC4B34" w:rsidP="004D1A67">
      <w:pPr>
        <w:rPr>
          <w:b/>
        </w:rPr>
      </w:pPr>
    </w:p>
    <w:p w:rsidR="003E28D4" w:rsidRPr="00805399" w:rsidRDefault="00CF163E" w:rsidP="00911C69">
      <w:pPr>
        <w:spacing w:after="240"/>
        <w:jc w:val="center"/>
        <w:rPr>
          <w:b/>
          <w:color w:val="336699"/>
          <w:sz w:val="36"/>
          <w:szCs w:val="36"/>
        </w:rPr>
      </w:pPr>
      <w:r w:rsidRPr="00805399">
        <w:rPr>
          <w:b/>
          <w:color w:val="336699"/>
          <w:sz w:val="36"/>
          <w:szCs w:val="36"/>
        </w:rPr>
        <w:t xml:space="preserve">ZPŮSOB </w:t>
      </w:r>
      <w:r w:rsidR="00221D93" w:rsidRPr="00805399">
        <w:rPr>
          <w:b/>
          <w:color w:val="336699"/>
          <w:sz w:val="36"/>
          <w:szCs w:val="36"/>
        </w:rPr>
        <w:t>HODNOCENÍ NABÍDEK</w:t>
      </w:r>
    </w:p>
    <w:p w:rsidR="00221D93" w:rsidRDefault="00194618" w:rsidP="00221D93">
      <w:pPr>
        <w:suppressAutoHyphens/>
        <w:rPr>
          <w:rFonts w:cstheme="minorHAnsi"/>
          <w:lang w:eastAsia="ar-SA"/>
        </w:rPr>
      </w:pPr>
      <w:r>
        <w:rPr>
          <w:rFonts w:cstheme="minorHAnsi"/>
          <w:lang w:eastAsia="ar-SA"/>
        </w:rPr>
        <w:t>Zadavatel</w:t>
      </w:r>
      <w:r w:rsidR="00221D93" w:rsidRPr="00221D93">
        <w:rPr>
          <w:rFonts w:cstheme="minorHAnsi"/>
          <w:lang w:eastAsia="ar-SA"/>
        </w:rPr>
        <w:t xml:space="preserve"> posoudí nabídky uchazečů z hlediska splnění zákonných požadavků a požadavků zadavatele uvedených v zadávacích podmínkách a z hlediska toho, zda uchazeč nepodal nepřijatelnou nabídku. Nabídky, které tyto požadavky nesplňují, musí být vyřazeny. </w:t>
      </w:r>
    </w:p>
    <w:p w:rsidR="00462A84" w:rsidRPr="00462A84" w:rsidRDefault="00462A84" w:rsidP="0023588A">
      <w:pPr>
        <w:pStyle w:val="Nadpis1"/>
      </w:pPr>
      <w:r w:rsidRPr="00462A84">
        <w:t>VÁHOVÁ KRITÉRIA</w:t>
      </w:r>
    </w:p>
    <w:p w:rsidR="00D02D37" w:rsidRPr="00D369FB" w:rsidRDefault="00D02D37" w:rsidP="00D02D37">
      <w:pPr>
        <w:suppressAutoHyphens/>
        <w:rPr>
          <w:rFonts w:cstheme="minorHAnsi"/>
          <w:lang w:eastAsia="ar-SA"/>
        </w:rPr>
      </w:pPr>
      <w:r w:rsidRPr="00D369FB">
        <w:rPr>
          <w:rFonts w:cstheme="minorHAnsi"/>
          <w:lang w:eastAsia="ar-SA"/>
        </w:rPr>
        <w:t xml:space="preserve">Jednotlivým dílčím kritériím jsou zadavatelem stanoveny váhy v procentech podle jejich důležitosti tak, že jejich součet je celkem 100. </w:t>
      </w:r>
    </w:p>
    <w:p w:rsidR="00900904" w:rsidRPr="005B1311" w:rsidRDefault="00900904" w:rsidP="00900904">
      <w:pPr>
        <w:suppressAutoHyphens/>
        <w:rPr>
          <w:rFonts w:cstheme="minorHAnsi"/>
          <w:lang w:eastAsia="ar-SA"/>
        </w:rPr>
      </w:pPr>
      <w:r w:rsidRPr="00221D93">
        <w:rPr>
          <w:rFonts w:cstheme="minorHAnsi"/>
          <w:lang w:eastAsia="ar-SA"/>
        </w:rPr>
        <w:t xml:space="preserve">Kritéria </w:t>
      </w:r>
      <w:r w:rsidRPr="005B1311">
        <w:rPr>
          <w:rFonts w:cstheme="minorHAnsi"/>
          <w:lang w:eastAsia="ar-SA"/>
        </w:rPr>
        <w:t>pro hodnocení nabídek a jejich váha:</w:t>
      </w:r>
    </w:p>
    <w:tbl>
      <w:tblPr>
        <w:tblStyle w:val="Mkatabulky"/>
        <w:tblW w:w="95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946"/>
        <w:gridCol w:w="1557"/>
        <w:gridCol w:w="6"/>
        <w:gridCol w:w="230"/>
      </w:tblGrid>
      <w:tr w:rsidR="00587D74" w:rsidRPr="005B1311" w:rsidTr="00520903">
        <w:trPr>
          <w:gridAfter w:val="1"/>
          <w:wAfter w:w="230" w:type="dxa"/>
        </w:trPr>
        <w:tc>
          <w:tcPr>
            <w:tcW w:w="7797" w:type="dxa"/>
            <w:gridSpan w:val="2"/>
          </w:tcPr>
          <w:p w:rsidR="00587D74" w:rsidRPr="005B1311" w:rsidRDefault="00587D74" w:rsidP="00587D74">
            <w:pPr>
              <w:suppressAutoHyphens/>
              <w:rPr>
                <w:rFonts w:cstheme="minorHAnsi"/>
                <w:color w:val="000000" w:themeColor="text1"/>
                <w:lang w:eastAsia="ar-SA"/>
              </w:rPr>
            </w:pP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>1.</w:t>
            </w:r>
            <w:r w:rsidRPr="005B1311">
              <w:rPr>
                <w:rFonts w:cstheme="minorHAnsi"/>
                <w:color w:val="000000" w:themeColor="text1"/>
                <w:lang w:eastAsia="ar-SA"/>
              </w:rPr>
              <w:t xml:space="preserve"> </w:t>
            </w: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Nabídková cena </w:t>
            </w:r>
            <w:r w:rsidRPr="005B1311">
              <w:rPr>
                <w:rFonts w:cstheme="minorHAnsi"/>
                <w:color w:val="000000" w:themeColor="text1"/>
                <w:lang w:eastAsia="ar-SA"/>
              </w:rPr>
              <w:t>(v Kč bez DPH)</w:t>
            </w:r>
          </w:p>
        </w:tc>
        <w:tc>
          <w:tcPr>
            <w:tcW w:w="1563" w:type="dxa"/>
            <w:gridSpan w:val="2"/>
          </w:tcPr>
          <w:p w:rsidR="00587D74" w:rsidRPr="005B1311" w:rsidRDefault="00587D74" w:rsidP="00EB2D24">
            <w:pPr>
              <w:suppressAutoHyphens/>
              <w:jc w:val="right"/>
              <w:rPr>
                <w:rFonts w:cstheme="minorHAnsi"/>
                <w:color w:val="000000" w:themeColor="text1"/>
                <w:lang w:eastAsia="ar-SA"/>
              </w:rPr>
            </w:pP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váha </w:t>
            </w:r>
            <w:r w:rsidR="00EB2D24" w:rsidRPr="005B1311">
              <w:rPr>
                <w:rFonts w:cstheme="minorHAnsi"/>
                <w:b/>
                <w:color w:val="000000" w:themeColor="text1"/>
                <w:lang w:eastAsia="ar-SA"/>
              </w:rPr>
              <w:t>4</w:t>
            </w:r>
            <w:r w:rsidR="005962E7" w:rsidRPr="005B1311">
              <w:rPr>
                <w:rFonts w:cstheme="minorHAnsi"/>
                <w:b/>
                <w:color w:val="000000" w:themeColor="text1"/>
                <w:lang w:eastAsia="ar-SA"/>
              </w:rPr>
              <w:t>0</w:t>
            </w: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>,0 %</w:t>
            </w:r>
          </w:p>
        </w:tc>
      </w:tr>
      <w:tr w:rsidR="00587D74" w:rsidRPr="005B1311" w:rsidTr="00520903">
        <w:tc>
          <w:tcPr>
            <w:tcW w:w="851" w:type="dxa"/>
          </w:tcPr>
          <w:p w:rsidR="00587D74" w:rsidRPr="005B1311" w:rsidRDefault="00587D74" w:rsidP="001756A1">
            <w:pPr>
              <w:suppressAutoHyphens/>
              <w:jc w:val="right"/>
              <w:rPr>
                <w:rFonts w:cstheme="minorHAnsi"/>
                <w:b/>
                <w:color w:val="000000" w:themeColor="text1"/>
                <w:sz w:val="4"/>
                <w:lang w:eastAsia="ar-SA"/>
              </w:rPr>
            </w:pPr>
          </w:p>
        </w:tc>
        <w:tc>
          <w:tcPr>
            <w:tcW w:w="8503" w:type="dxa"/>
            <w:gridSpan w:val="2"/>
          </w:tcPr>
          <w:p w:rsidR="00587D74" w:rsidRPr="005B1311" w:rsidRDefault="00587D74" w:rsidP="001756A1">
            <w:pPr>
              <w:suppressAutoHyphens/>
              <w:rPr>
                <w:rFonts w:cstheme="minorHAnsi"/>
                <w:b/>
                <w:color w:val="000000" w:themeColor="text1"/>
                <w:sz w:val="4"/>
                <w:lang w:eastAsia="ar-SA"/>
              </w:rPr>
            </w:pPr>
          </w:p>
        </w:tc>
        <w:tc>
          <w:tcPr>
            <w:tcW w:w="236" w:type="dxa"/>
            <w:gridSpan w:val="2"/>
          </w:tcPr>
          <w:p w:rsidR="00587D74" w:rsidRPr="005B1311" w:rsidRDefault="00587D74" w:rsidP="001756A1">
            <w:pPr>
              <w:suppressAutoHyphens/>
              <w:jc w:val="right"/>
              <w:rPr>
                <w:rFonts w:cstheme="minorHAnsi"/>
                <w:b/>
                <w:color w:val="000000" w:themeColor="text1"/>
                <w:sz w:val="4"/>
                <w:lang w:eastAsia="ar-SA"/>
              </w:rPr>
            </w:pPr>
          </w:p>
        </w:tc>
      </w:tr>
      <w:tr w:rsidR="00587D74" w:rsidRPr="005B1311" w:rsidTr="00520903">
        <w:trPr>
          <w:gridAfter w:val="1"/>
          <w:wAfter w:w="230" w:type="dxa"/>
        </w:trPr>
        <w:tc>
          <w:tcPr>
            <w:tcW w:w="7797" w:type="dxa"/>
            <w:gridSpan w:val="2"/>
          </w:tcPr>
          <w:p w:rsidR="00587D74" w:rsidRPr="005B1311" w:rsidRDefault="00587D74" w:rsidP="001756A1">
            <w:pPr>
              <w:suppressAutoHyphens/>
              <w:rPr>
                <w:rFonts w:cstheme="minorHAnsi"/>
                <w:color w:val="000000" w:themeColor="text1"/>
                <w:lang w:eastAsia="ar-SA"/>
              </w:rPr>
            </w:pP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>2.</w:t>
            </w:r>
            <w:r w:rsidRPr="005B1311">
              <w:rPr>
                <w:rFonts w:cstheme="minorHAnsi"/>
                <w:color w:val="000000" w:themeColor="text1"/>
                <w:lang w:eastAsia="ar-SA"/>
              </w:rPr>
              <w:t xml:space="preserve"> </w:t>
            </w: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Výše zaručených úspor </w:t>
            </w:r>
            <w:r w:rsidRPr="005B1311">
              <w:rPr>
                <w:rFonts w:cstheme="minorHAnsi"/>
                <w:color w:val="000000" w:themeColor="text1"/>
                <w:lang w:eastAsia="ar-SA"/>
              </w:rPr>
              <w:t>(v Kč bez DPH)</w:t>
            </w:r>
          </w:p>
        </w:tc>
        <w:tc>
          <w:tcPr>
            <w:tcW w:w="1563" w:type="dxa"/>
            <w:gridSpan w:val="2"/>
          </w:tcPr>
          <w:p w:rsidR="00587D74" w:rsidRPr="005B1311" w:rsidRDefault="00587D74" w:rsidP="00EB2D24">
            <w:pPr>
              <w:suppressAutoHyphens/>
              <w:jc w:val="right"/>
              <w:rPr>
                <w:rFonts w:cstheme="minorHAnsi"/>
                <w:color w:val="000000" w:themeColor="text1"/>
                <w:lang w:eastAsia="ar-SA"/>
              </w:rPr>
            </w:pP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váha </w:t>
            </w:r>
            <w:r w:rsidR="00EB2D24" w:rsidRPr="005B1311">
              <w:rPr>
                <w:rFonts w:cstheme="minorHAnsi"/>
                <w:b/>
                <w:color w:val="000000" w:themeColor="text1"/>
                <w:lang w:eastAsia="ar-SA"/>
              </w:rPr>
              <w:t>35</w:t>
            </w: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>,0 %</w:t>
            </w:r>
          </w:p>
        </w:tc>
      </w:tr>
      <w:tr w:rsidR="00587D74" w:rsidRPr="005B1311" w:rsidTr="00520903">
        <w:tc>
          <w:tcPr>
            <w:tcW w:w="851" w:type="dxa"/>
          </w:tcPr>
          <w:p w:rsidR="00587D74" w:rsidRPr="005B1311" w:rsidRDefault="00587D74" w:rsidP="001756A1">
            <w:pPr>
              <w:suppressAutoHyphens/>
              <w:jc w:val="right"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  <w:tc>
          <w:tcPr>
            <w:tcW w:w="8503" w:type="dxa"/>
            <w:gridSpan w:val="2"/>
          </w:tcPr>
          <w:p w:rsidR="00587D74" w:rsidRPr="005B1311" w:rsidRDefault="00587D74" w:rsidP="001756A1">
            <w:pPr>
              <w:suppressAutoHyphens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  <w:tc>
          <w:tcPr>
            <w:tcW w:w="236" w:type="dxa"/>
            <w:gridSpan w:val="2"/>
          </w:tcPr>
          <w:p w:rsidR="00587D74" w:rsidRPr="005B1311" w:rsidRDefault="00587D74" w:rsidP="001756A1">
            <w:pPr>
              <w:suppressAutoHyphens/>
              <w:jc w:val="right"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</w:tr>
      <w:tr w:rsidR="00587D74" w:rsidRPr="005B1311" w:rsidTr="00520903">
        <w:trPr>
          <w:gridAfter w:val="1"/>
          <w:wAfter w:w="230" w:type="dxa"/>
        </w:trPr>
        <w:tc>
          <w:tcPr>
            <w:tcW w:w="7797" w:type="dxa"/>
            <w:gridSpan w:val="2"/>
          </w:tcPr>
          <w:p w:rsidR="00587D74" w:rsidRPr="005B1311" w:rsidRDefault="00587D74" w:rsidP="001756A1">
            <w:pPr>
              <w:suppressAutoHyphens/>
              <w:rPr>
                <w:rFonts w:cstheme="minorHAnsi"/>
                <w:color w:val="000000" w:themeColor="text1"/>
                <w:lang w:eastAsia="ar-SA"/>
              </w:rPr>
            </w:pP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>3.</w:t>
            </w:r>
            <w:r w:rsidRPr="005B1311">
              <w:rPr>
                <w:rFonts w:cstheme="minorHAnsi"/>
                <w:color w:val="000000" w:themeColor="text1"/>
                <w:lang w:eastAsia="ar-SA"/>
              </w:rPr>
              <w:t xml:space="preserve"> </w:t>
            </w:r>
            <w:r w:rsidR="00BA2726" w:rsidRPr="00BA2726">
              <w:rPr>
                <w:rFonts w:cstheme="minorHAnsi"/>
                <w:b/>
                <w:color w:val="000000" w:themeColor="text1"/>
                <w:lang w:eastAsia="ar-SA"/>
              </w:rPr>
              <w:t xml:space="preserve">Výše investičních nákladů </w:t>
            </w:r>
            <w:r w:rsidRPr="005B1311">
              <w:rPr>
                <w:rFonts w:cstheme="minorHAnsi"/>
                <w:color w:val="000000" w:themeColor="text1"/>
                <w:lang w:eastAsia="ar-SA"/>
              </w:rPr>
              <w:t>(v Kč bez DPH)</w:t>
            </w:r>
          </w:p>
        </w:tc>
        <w:tc>
          <w:tcPr>
            <w:tcW w:w="1563" w:type="dxa"/>
            <w:gridSpan w:val="2"/>
          </w:tcPr>
          <w:p w:rsidR="00587D74" w:rsidRPr="005B1311" w:rsidRDefault="00587D74" w:rsidP="00EB2D24">
            <w:pPr>
              <w:suppressAutoHyphens/>
              <w:jc w:val="right"/>
              <w:rPr>
                <w:rFonts w:cstheme="minorHAnsi"/>
                <w:color w:val="000000" w:themeColor="text1"/>
                <w:lang w:eastAsia="ar-SA"/>
              </w:rPr>
            </w:pP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váha </w:t>
            </w:r>
            <w:r w:rsidR="00EB2D24" w:rsidRPr="005B1311">
              <w:rPr>
                <w:rFonts w:cstheme="minorHAnsi"/>
                <w:b/>
                <w:color w:val="000000" w:themeColor="text1"/>
                <w:lang w:eastAsia="ar-SA"/>
              </w:rPr>
              <w:t>15</w:t>
            </w: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>,0 %</w:t>
            </w:r>
          </w:p>
        </w:tc>
      </w:tr>
      <w:tr w:rsidR="00587D74" w:rsidRPr="005B1311" w:rsidTr="00520903">
        <w:trPr>
          <w:gridAfter w:val="1"/>
          <w:wAfter w:w="230" w:type="dxa"/>
        </w:trPr>
        <w:tc>
          <w:tcPr>
            <w:tcW w:w="851" w:type="dxa"/>
          </w:tcPr>
          <w:p w:rsidR="00587D74" w:rsidRPr="005B1311" w:rsidRDefault="00587D74" w:rsidP="001756A1">
            <w:pPr>
              <w:suppressAutoHyphens/>
              <w:jc w:val="right"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  <w:tc>
          <w:tcPr>
            <w:tcW w:w="6946" w:type="dxa"/>
          </w:tcPr>
          <w:p w:rsidR="00587D74" w:rsidRPr="005B1311" w:rsidRDefault="00587D74" w:rsidP="001756A1">
            <w:pPr>
              <w:suppressAutoHyphens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  <w:tc>
          <w:tcPr>
            <w:tcW w:w="1563" w:type="dxa"/>
            <w:gridSpan w:val="2"/>
          </w:tcPr>
          <w:p w:rsidR="00587D74" w:rsidRPr="005B1311" w:rsidRDefault="00587D74" w:rsidP="001756A1">
            <w:pPr>
              <w:suppressAutoHyphens/>
              <w:jc w:val="right"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</w:tr>
      <w:tr w:rsidR="00587D74" w:rsidRPr="007817A4" w:rsidTr="00520903">
        <w:trPr>
          <w:gridAfter w:val="1"/>
          <w:wAfter w:w="230" w:type="dxa"/>
        </w:trPr>
        <w:tc>
          <w:tcPr>
            <w:tcW w:w="7797" w:type="dxa"/>
            <w:gridSpan w:val="2"/>
          </w:tcPr>
          <w:p w:rsidR="00587D74" w:rsidRPr="005B1311" w:rsidRDefault="00D6229C" w:rsidP="005B1311">
            <w:pPr>
              <w:suppressAutoHyphens/>
              <w:rPr>
                <w:rFonts w:cstheme="minorHAnsi"/>
                <w:color w:val="000000" w:themeColor="text1"/>
                <w:lang w:eastAsia="ar-SA"/>
              </w:rPr>
            </w:pP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>4</w:t>
            </w:r>
            <w:r w:rsidR="00587D74" w:rsidRPr="005B1311">
              <w:rPr>
                <w:rFonts w:cstheme="minorHAnsi"/>
                <w:b/>
                <w:color w:val="000000" w:themeColor="text1"/>
                <w:lang w:eastAsia="ar-SA"/>
              </w:rPr>
              <w:t>.</w:t>
            </w:r>
            <w:r w:rsidR="00587D74" w:rsidRPr="005B1311">
              <w:rPr>
                <w:rFonts w:cstheme="minorHAnsi"/>
                <w:color w:val="000000" w:themeColor="text1"/>
                <w:lang w:eastAsia="ar-SA"/>
              </w:rPr>
              <w:t xml:space="preserve"> </w:t>
            </w:r>
            <w:r w:rsidR="00820BAC"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Podíl úspor prokazovaných na základě měření spotřeby </w:t>
            </w:r>
            <w:bookmarkStart w:id="0" w:name="_GoBack"/>
            <w:r w:rsidR="00820BAC" w:rsidRPr="005B1311">
              <w:rPr>
                <w:rFonts w:cstheme="minorHAnsi"/>
                <w:b/>
                <w:color w:val="000000" w:themeColor="text1"/>
                <w:lang w:eastAsia="ar-SA"/>
              </w:rPr>
              <w:t>celého</w:t>
            </w:r>
            <w:bookmarkEnd w:id="0"/>
            <w:r w:rsidR="00820BAC"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 objektu</w:t>
            </w:r>
            <w:r w:rsidR="003605FF">
              <w:rPr>
                <w:rFonts w:cstheme="minorHAnsi"/>
                <w:b/>
                <w:color w:val="000000" w:themeColor="text1"/>
                <w:lang w:eastAsia="ar-SA"/>
              </w:rPr>
              <w:t>, resp. objektů</w:t>
            </w:r>
            <w:r w:rsidR="00820BAC"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 k celkovému objemu úspor </w:t>
            </w:r>
            <w:r w:rsidR="00587D74" w:rsidRPr="005B1311">
              <w:rPr>
                <w:rFonts w:cstheme="minorHAnsi"/>
                <w:color w:val="000000" w:themeColor="text1"/>
                <w:lang w:eastAsia="ar-SA"/>
              </w:rPr>
              <w:t>(v %)</w:t>
            </w:r>
          </w:p>
        </w:tc>
        <w:tc>
          <w:tcPr>
            <w:tcW w:w="1563" w:type="dxa"/>
            <w:gridSpan w:val="2"/>
          </w:tcPr>
          <w:p w:rsidR="00587D74" w:rsidRPr="005B1311" w:rsidRDefault="00587D74" w:rsidP="00EB2D24">
            <w:pPr>
              <w:suppressAutoHyphens/>
              <w:jc w:val="right"/>
              <w:rPr>
                <w:rFonts w:cstheme="minorHAnsi"/>
                <w:color w:val="000000" w:themeColor="text1"/>
                <w:lang w:eastAsia="ar-SA"/>
              </w:rPr>
            </w:pP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 xml:space="preserve">váha </w:t>
            </w:r>
            <w:r w:rsidR="00EB2D24" w:rsidRPr="005B1311">
              <w:rPr>
                <w:rFonts w:cstheme="minorHAnsi"/>
                <w:b/>
                <w:color w:val="000000" w:themeColor="text1"/>
                <w:lang w:eastAsia="ar-SA"/>
              </w:rPr>
              <w:t>10</w:t>
            </w:r>
            <w:r w:rsidRPr="005B1311">
              <w:rPr>
                <w:rFonts w:cstheme="minorHAnsi"/>
                <w:b/>
                <w:color w:val="000000" w:themeColor="text1"/>
                <w:lang w:eastAsia="ar-SA"/>
              </w:rPr>
              <w:t>,0 %</w:t>
            </w:r>
          </w:p>
        </w:tc>
      </w:tr>
      <w:tr w:rsidR="00587D74" w:rsidRPr="00587D74" w:rsidTr="00520903">
        <w:tc>
          <w:tcPr>
            <w:tcW w:w="851" w:type="dxa"/>
          </w:tcPr>
          <w:p w:rsidR="00587D74" w:rsidRPr="00587D74" w:rsidRDefault="00587D74" w:rsidP="001756A1">
            <w:pPr>
              <w:suppressAutoHyphens/>
              <w:jc w:val="right"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  <w:tc>
          <w:tcPr>
            <w:tcW w:w="8503" w:type="dxa"/>
            <w:gridSpan w:val="2"/>
          </w:tcPr>
          <w:p w:rsidR="00587D74" w:rsidRPr="00587D74" w:rsidRDefault="00587D74" w:rsidP="001756A1">
            <w:pPr>
              <w:suppressAutoHyphens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  <w:tc>
          <w:tcPr>
            <w:tcW w:w="236" w:type="dxa"/>
            <w:gridSpan w:val="2"/>
          </w:tcPr>
          <w:p w:rsidR="00587D74" w:rsidRPr="00587D74" w:rsidRDefault="00587D74" w:rsidP="001756A1">
            <w:pPr>
              <w:suppressAutoHyphens/>
              <w:jc w:val="right"/>
              <w:rPr>
                <w:rFonts w:cstheme="minorHAnsi"/>
                <w:b/>
                <w:color w:val="000000" w:themeColor="text1"/>
                <w:sz w:val="4"/>
                <w:szCs w:val="4"/>
                <w:lang w:eastAsia="ar-SA"/>
              </w:rPr>
            </w:pPr>
          </w:p>
        </w:tc>
      </w:tr>
    </w:tbl>
    <w:p w:rsidR="00911C69" w:rsidRPr="00AD02D5" w:rsidRDefault="00296C2C" w:rsidP="00AD02D5">
      <w:pPr>
        <w:pStyle w:val="Nadpis2"/>
      </w:pPr>
      <w:bookmarkStart w:id="1" w:name="_Ref225068975"/>
      <w:bookmarkStart w:id="2" w:name="_Toc341186580"/>
      <w:bookmarkStart w:id="3" w:name="_Toc341186581"/>
      <w:r>
        <w:t>N</w:t>
      </w:r>
      <w:r w:rsidR="00911C69" w:rsidRPr="00AD02D5">
        <w:t>abídkov</w:t>
      </w:r>
      <w:r>
        <w:t>á</w:t>
      </w:r>
      <w:r w:rsidR="00911C69" w:rsidRPr="00AD02D5">
        <w:t xml:space="preserve"> </w:t>
      </w:r>
      <w:bookmarkEnd w:id="1"/>
      <w:r w:rsidRPr="00AD02D5">
        <w:t>cen</w:t>
      </w:r>
      <w:r>
        <w:t>a</w:t>
      </w:r>
      <w:r w:rsidRPr="00AD02D5">
        <w:t xml:space="preserve"> </w:t>
      </w:r>
      <w:bookmarkEnd w:id="2"/>
    </w:p>
    <w:p w:rsidR="00911C69" w:rsidRPr="00AD02D5" w:rsidRDefault="00911C69" w:rsidP="00AD02D5">
      <w:pPr>
        <w:pStyle w:val="Nadpis3"/>
      </w:pPr>
      <w:r w:rsidRPr="00AD02D5">
        <w:t>Doložení nabídkové ceny pro porovnání nabídek</w:t>
      </w:r>
      <w:bookmarkEnd w:id="3"/>
    </w:p>
    <w:p w:rsidR="005912F6" w:rsidRDefault="00911C69" w:rsidP="00911C69">
      <w:pPr>
        <w:pStyle w:val="Zkladntext"/>
        <w:tabs>
          <w:tab w:val="left" w:pos="5040"/>
          <w:tab w:val="left" w:leader="dot" w:pos="9000"/>
        </w:tabs>
        <w:spacing w:before="60"/>
        <w:rPr>
          <w:szCs w:val="22"/>
        </w:rPr>
      </w:pPr>
      <w:r w:rsidRPr="00B770FE">
        <w:rPr>
          <w:szCs w:val="22"/>
        </w:rPr>
        <w:t xml:space="preserve">Nabídkovou cenou se pro účely nabídky rozumí celková cena, kterou zadavatel uhradí vybranému uchazeči za dobu </w:t>
      </w:r>
      <w:r w:rsidR="006232B4">
        <w:rPr>
          <w:szCs w:val="22"/>
        </w:rPr>
        <w:t>trvání smluvního vztahu</w:t>
      </w:r>
      <w:r w:rsidRPr="00B770FE">
        <w:rPr>
          <w:szCs w:val="22"/>
        </w:rPr>
        <w:t xml:space="preserve">. Výpočet takto </w:t>
      </w:r>
      <w:r w:rsidR="0036562B">
        <w:rPr>
          <w:szCs w:val="22"/>
        </w:rPr>
        <w:t>(</w:t>
      </w:r>
      <w:r w:rsidRPr="00B770FE">
        <w:rPr>
          <w:szCs w:val="22"/>
        </w:rPr>
        <w:t>pro účely porovnání nabídek</w:t>
      </w:r>
      <w:r w:rsidR="0036562B">
        <w:rPr>
          <w:szCs w:val="22"/>
        </w:rPr>
        <w:t>)</w:t>
      </w:r>
      <w:r w:rsidRPr="00B770FE">
        <w:rPr>
          <w:szCs w:val="22"/>
        </w:rPr>
        <w:t xml:space="preserve"> definované nabídkové ceny (modelově bez </w:t>
      </w:r>
      <w:r w:rsidRPr="003976AE">
        <w:rPr>
          <w:szCs w:val="22"/>
        </w:rPr>
        <w:t>DPH</w:t>
      </w:r>
      <w:r w:rsidRPr="00B770FE">
        <w:rPr>
          <w:szCs w:val="22"/>
        </w:rPr>
        <w:t>) je specifikován v samostatném souboru v elektronické podobě.</w:t>
      </w:r>
      <w:r w:rsidR="003B3718">
        <w:rPr>
          <w:szCs w:val="22"/>
        </w:rPr>
        <w:t xml:space="preserve"> </w:t>
      </w:r>
    </w:p>
    <w:p w:rsidR="000F0CC3" w:rsidRPr="003B3718" w:rsidRDefault="0036562B" w:rsidP="00911C69">
      <w:pPr>
        <w:pStyle w:val="Zkladntext"/>
        <w:tabs>
          <w:tab w:val="left" w:pos="5040"/>
          <w:tab w:val="left" w:leader="dot" w:pos="9000"/>
        </w:tabs>
        <w:spacing w:before="60"/>
        <w:rPr>
          <w:szCs w:val="22"/>
        </w:rPr>
      </w:pPr>
      <w:r>
        <w:rPr>
          <w:szCs w:val="22"/>
        </w:rPr>
        <w:t xml:space="preserve">Hodnocení nabídek bude provedeno </w:t>
      </w:r>
      <w:r w:rsidRPr="00923D78">
        <w:rPr>
          <w:b/>
          <w:szCs w:val="22"/>
        </w:rPr>
        <w:t xml:space="preserve">ve prospěch </w:t>
      </w:r>
      <w:r w:rsidR="00923D78" w:rsidRPr="00923D78">
        <w:rPr>
          <w:b/>
          <w:szCs w:val="22"/>
        </w:rPr>
        <w:t>nižš</w:t>
      </w:r>
      <w:r w:rsidRPr="00923D78">
        <w:rPr>
          <w:b/>
          <w:szCs w:val="22"/>
        </w:rPr>
        <w:t>í hodnoty</w:t>
      </w:r>
      <w:r w:rsidR="003B3718">
        <w:rPr>
          <w:b/>
          <w:szCs w:val="22"/>
        </w:rPr>
        <w:t>.</w:t>
      </w:r>
    </w:p>
    <w:p w:rsidR="00911C69" w:rsidRPr="00AD02D5" w:rsidRDefault="00911C69" w:rsidP="00AD02D5">
      <w:pPr>
        <w:pStyle w:val="Nadpis3"/>
      </w:pPr>
      <w:bookmarkStart w:id="4" w:name="_Toc341186582"/>
      <w:r w:rsidRPr="00AD02D5">
        <w:t>Doložení struktury nabídkové ceny</w:t>
      </w:r>
      <w:bookmarkEnd w:id="4"/>
    </w:p>
    <w:p w:rsidR="00911C69" w:rsidRPr="00B770FE" w:rsidRDefault="00911C69" w:rsidP="00911C69">
      <w:pPr>
        <w:pStyle w:val="Zkladntext"/>
        <w:tabs>
          <w:tab w:val="left" w:pos="5040"/>
          <w:tab w:val="left" w:leader="dot" w:pos="9000"/>
        </w:tabs>
        <w:spacing w:before="60"/>
        <w:rPr>
          <w:i/>
          <w:szCs w:val="22"/>
        </w:rPr>
      </w:pPr>
      <w:r w:rsidRPr="00B770FE">
        <w:rPr>
          <w:szCs w:val="22"/>
        </w:rPr>
        <w:t xml:space="preserve">V nabídce a v návrhu smlouvy musí uchazeč jednoznačně specifikovat </w:t>
      </w:r>
      <w:r w:rsidRPr="00B770FE">
        <w:rPr>
          <w:b/>
          <w:szCs w:val="22"/>
        </w:rPr>
        <w:t>celkovou nabídkovou cenu a její strukturu</w:t>
      </w:r>
      <w:r w:rsidRPr="00B770FE">
        <w:rPr>
          <w:szCs w:val="22"/>
        </w:rPr>
        <w:t xml:space="preserve">, a dále jaké budou </w:t>
      </w:r>
      <w:r w:rsidRPr="00B770FE">
        <w:rPr>
          <w:b/>
          <w:szCs w:val="22"/>
        </w:rPr>
        <w:t>splátky zadavatele</w:t>
      </w:r>
      <w:r w:rsidRPr="00B770FE">
        <w:rPr>
          <w:szCs w:val="22"/>
        </w:rPr>
        <w:t xml:space="preserve"> v jednotlivých letech trvání smlouvy. Tato plnění uchazeč uvede v přílohách nabídky</w:t>
      </w:r>
      <w:r w:rsidR="00EE2574">
        <w:rPr>
          <w:szCs w:val="22"/>
        </w:rPr>
        <w:t>, resp.</w:t>
      </w:r>
      <w:r w:rsidRPr="00B770FE">
        <w:rPr>
          <w:szCs w:val="22"/>
        </w:rPr>
        <w:t xml:space="preserve"> v povinné cenové příloze (</w:t>
      </w:r>
      <w:r w:rsidR="00EE2574">
        <w:rPr>
          <w:szCs w:val="22"/>
        </w:rPr>
        <w:t>vzorový dokument 5e v Části 5 ZD</w:t>
      </w:r>
      <w:r w:rsidRPr="003976AE">
        <w:rPr>
          <w:szCs w:val="22"/>
        </w:rPr>
        <w:t>).</w:t>
      </w:r>
    </w:p>
    <w:p w:rsidR="00911C69" w:rsidRPr="00642E62" w:rsidRDefault="00911C69" w:rsidP="00911C69">
      <w:pPr>
        <w:pStyle w:val="Zkladntext"/>
        <w:tabs>
          <w:tab w:val="left" w:pos="5040"/>
          <w:tab w:val="left" w:leader="dot" w:pos="9000"/>
        </w:tabs>
        <w:spacing w:before="60"/>
        <w:rPr>
          <w:i/>
          <w:szCs w:val="22"/>
        </w:rPr>
      </w:pPr>
      <w:r w:rsidRPr="00642E62">
        <w:rPr>
          <w:szCs w:val="22"/>
        </w:rPr>
        <w:t>Struktura nabídkové ceny bude předložena v následujícím členění:</w:t>
      </w:r>
    </w:p>
    <w:p w:rsidR="00911C69" w:rsidRPr="00642E62" w:rsidRDefault="00642E62" w:rsidP="00911C69">
      <w:pPr>
        <w:pStyle w:val="Zkladntext"/>
        <w:numPr>
          <w:ilvl w:val="0"/>
          <w:numId w:val="9"/>
        </w:numPr>
        <w:tabs>
          <w:tab w:val="left" w:pos="426"/>
          <w:tab w:val="left" w:pos="5040"/>
          <w:tab w:val="left" w:leader="dot" w:pos="9000"/>
        </w:tabs>
        <w:spacing w:before="60" w:after="0"/>
        <w:rPr>
          <w:i/>
          <w:szCs w:val="22"/>
        </w:rPr>
      </w:pPr>
      <w:r w:rsidRPr="00642E62">
        <w:rPr>
          <w:szCs w:val="22"/>
        </w:rPr>
        <w:t>C</w:t>
      </w:r>
      <w:r w:rsidR="00911C69" w:rsidRPr="00642E62">
        <w:rPr>
          <w:szCs w:val="22"/>
        </w:rPr>
        <w:t>ena za realizaci úsporných opatření (tj. dodávka a montáž zařízení)</w:t>
      </w:r>
      <w:r w:rsidRPr="00642E62">
        <w:rPr>
          <w:szCs w:val="22"/>
        </w:rPr>
        <w:t>:</w:t>
      </w:r>
    </w:p>
    <w:p w:rsidR="00911C69" w:rsidRPr="00642E62" w:rsidRDefault="00642E62" w:rsidP="00911C69">
      <w:pPr>
        <w:pStyle w:val="Zkladntext"/>
        <w:numPr>
          <w:ilvl w:val="0"/>
          <w:numId w:val="9"/>
        </w:numPr>
        <w:tabs>
          <w:tab w:val="left" w:pos="426"/>
          <w:tab w:val="left" w:pos="5040"/>
          <w:tab w:val="left" w:leader="dot" w:pos="9000"/>
        </w:tabs>
        <w:spacing w:before="60" w:after="0"/>
        <w:rPr>
          <w:i/>
          <w:szCs w:val="22"/>
        </w:rPr>
      </w:pPr>
      <w:r w:rsidRPr="00642E62">
        <w:rPr>
          <w:szCs w:val="22"/>
        </w:rPr>
        <w:t>C</w:t>
      </w:r>
      <w:r w:rsidR="00911C69" w:rsidRPr="00642E62">
        <w:rPr>
          <w:szCs w:val="22"/>
        </w:rPr>
        <w:t>ena za zajištění financování zakázky (dodavatelský úvěr</w:t>
      </w:r>
      <w:r w:rsidR="006F6E5F" w:rsidRPr="00642E62">
        <w:rPr>
          <w:szCs w:val="22"/>
        </w:rPr>
        <w:t xml:space="preserve">, souhrnně pro </w:t>
      </w:r>
      <w:r w:rsidR="00597D9D">
        <w:rPr>
          <w:szCs w:val="22"/>
        </w:rPr>
        <w:t xml:space="preserve">všechny </w:t>
      </w:r>
      <w:r w:rsidR="006F6E5F" w:rsidRPr="00642E62">
        <w:rPr>
          <w:szCs w:val="22"/>
        </w:rPr>
        <w:t>budovy</w:t>
      </w:r>
      <w:r w:rsidR="00911C69" w:rsidRPr="00642E62">
        <w:rPr>
          <w:szCs w:val="22"/>
        </w:rPr>
        <w:t>)</w:t>
      </w:r>
      <w:r w:rsidRPr="00642E62">
        <w:rPr>
          <w:szCs w:val="22"/>
        </w:rPr>
        <w:t>.</w:t>
      </w:r>
    </w:p>
    <w:p w:rsidR="00911C69" w:rsidRPr="00642E62" w:rsidRDefault="00642E62" w:rsidP="00911C69">
      <w:pPr>
        <w:pStyle w:val="Zkladntext"/>
        <w:numPr>
          <w:ilvl w:val="0"/>
          <w:numId w:val="9"/>
        </w:numPr>
        <w:tabs>
          <w:tab w:val="left" w:pos="426"/>
          <w:tab w:val="left" w:pos="5040"/>
          <w:tab w:val="left" w:leader="dot" w:pos="9000"/>
        </w:tabs>
        <w:spacing w:before="60" w:after="0"/>
        <w:rPr>
          <w:i/>
          <w:szCs w:val="22"/>
        </w:rPr>
      </w:pPr>
      <w:r w:rsidRPr="00642E62">
        <w:rPr>
          <w:szCs w:val="22"/>
        </w:rPr>
        <w:t>C</w:t>
      </w:r>
      <w:r w:rsidR="00911C69" w:rsidRPr="00642E62">
        <w:rPr>
          <w:szCs w:val="22"/>
        </w:rPr>
        <w:t xml:space="preserve">ena za </w:t>
      </w:r>
      <w:r w:rsidR="00E96B58" w:rsidRPr="00642E62">
        <w:rPr>
          <w:szCs w:val="22"/>
        </w:rPr>
        <w:t>smluvn</w:t>
      </w:r>
      <w:r w:rsidR="00E96B58">
        <w:rPr>
          <w:szCs w:val="22"/>
        </w:rPr>
        <w:t>í</w:t>
      </w:r>
      <w:r w:rsidR="00E96B58" w:rsidRPr="00642E62">
        <w:rPr>
          <w:szCs w:val="22"/>
        </w:rPr>
        <w:t xml:space="preserve"> </w:t>
      </w:r>
      <w:r w:rsidRPr="00642E62">
        <w:rPr>
          <w:szCs w:val="22"/>
        </w:rPr>
        <w:t>energetický management</w:t>
      </w:r>
      <w:r w:rsidR="00911C69" w:rsidRPr="00642E62">
        <w:rPr>
          <w:szCs w:val="22"/>
        </w:rPr>
        <w:t xml:space="preserve"> </w:t>
      </w:r>
      <w:r w:rsidRPr="00642E62">
        <w:rPr>
          <w:szCs w:val="22"/>
        </w:rPr>
        <w:t xml:space="preserve">a za případné další služby jejich výši a zdůvodnění definuje uchazeč </w:t>
      </w:r>
      <w:r w:rsidR="00911C69" w:rsidRPr="00642E62">
        <w:rPr>
          <w:szCs w:val="22"/>
        </w:rPr>
        <w:t>(včetně provádění servisu, kontroly a vyhodnocování úspor)</w:t>
      </w:r>
      <w:r w:rsidR="003B3718">
        <w:rPr>
          <w:szCs w:val="22"/>
        </w:rPr>
        <w:t>.</w:t>
      </w:r>
    </w:p>
    <w:p w:rsidR="00911C69" w:rsidRDefault="00911C69" w:rsidP="006F6E5F">
      <w:pPr>
        <w:pStyle w:val="Zkladntext"/>
        <w:tabs>
          <w:tab w:val="left" w:pos="5040"/>
          <w:tab w:val="left" w:leader="dot" w:pos="9000"/>
        </w:tabs>
        <w:spacing w:before="240" w:after="0"/>
        <w:rPr>
          <w:szCs w:val="22"/>
        </w:rPr>
      </w:pPr>
      <w:r w:rsidRPr="00B770FE">
        <w:rPr>
          <w:szCs w:val="22"/>
        </w:rPr>
        <w:t xml:space="preserve">Ceny za realizaci úsporných a dalších opatření (tj. dodávka a montáž zařízení včetně souvisejících stavebních prací) budou </w:t>
      </w:r>
      <w:r w:rsidRPr="00B770FE">
        <w:rPr>
          <w:b/>
          <w:szCs w:val="22"/>
        </w:rPr>
        <w:t>doloženy kalkulací</w:t>
      </w:r>
      <w:r w:rsidRPr="00B770FE">
        <w:rPr>
          <w:szCs w:val="22"/>
        </w:rPr>
        <w:t xml:space="preserve"> (soupisem prací a dod</w:t>
      </w:r>
      <w:r w:rsidR="00587D74">
        <w:rPr>
          <w:szCs w:val="22"/>
        </w:rPr>
        <w:t>ávek nebo položkovým rozpočtem</w:t>
      </w:r>
      <w:r w:rsidR="00620591">
        <w:rPr>
          <w:szCs w:val="22"/>
        </w:rPr>
        <w:t xml:space="preserve"> členěným dle dílčích agregovaných cenových ukazatelů pro jednotlivé funkční celky), kterou účastníci vytvoří sami podle struktury navrhovaných opatření a která bude součástí přílohy č. 3 k návrhu smlouvy</w:t>
      </w:r>
      <w:r w:rsidRPr="00B770FE">
        <w:rPr>
          <w:szCs w:val="22"/>
        </w:rPr>
        <w:t>.</w:t>
      </w:r>
    </w:p>
    <w:p w:rsidR="00911C69" w:rsidRPr="00B770FE" w:rsidRDefault="00911C69" w:rsidP="00911C69">
      <w:pPr>
        <w:pStyle w:val="Zkladntext"/>
        <w:tabs>
          <w:tab w:val="left" w:pos="5040"/>
          <w:tab w:val="left" w:leader="dot" w:pos="9000"/>
        </w:tabs>
        <w:spacing w:before="60"/>
        <w:rPr>
          <w:i/>
          <w:szCs w:val="22"/>
        </w:rPr>
      </w:pPr>
      <w:r w:rsidRPr="00B770FE">
        <w:rPr>
          <w:szCs w:val="22"/>
        </w:rPr>
        <w:t xml:space="preserve">Nabídková cena bude stanovena pro celý rozsah předmětu plnění veřejné zakázky při dodržení nabídnuté lhůty plnění dle podmínek zadávací dokumentace. Uchazeč odpovídá za to, že jeho nabídka a tedy </w:t>
      </w:r>
      <w:r w:rsidR="00A44D97">
        <w:rPr>
          <w:szCs w:val="22"/>
        </w:rPr>
        <w:br/>
      </w:r>
      <w:r w:rsidRPr="00B770FE">
        <w:rPr>
          <w:szCs w:val="22"/>
        </w:rPr>
        <w:t>i nabídková cena zahrnuje všechny práce a dodávky vymezené v těchto podmínkách a v zadávací dokumentaci</w:t>
      </w:r>
      <w:r w:rsidR="00587D74">
        <w:rPr>
          <w:szCs w:val="22"/>
        </w:rPr>
        <w:t>,</w:t>
      </w:r>
      <w:r w:rsidRPr="00B770FE">
        <w:rPr>
          <w:szCs w:val="22"/>
        </w:rPr>
        <w:t xml:space="preserve"> a to po celou dobu trvání projektu.</w:t>
      </w:r>
    </w:p>
    <w:p w:rsidR="00911C69" w:rsidRPr="00AD02D5" w:rsidRDefault="00911C69" w:rsidP="00AD02D5">
      <w:pPr>
        <w:pStyle w:val="Nadpis3"/>
      </w:pPr>
      <w:bookmarkStart w:id="5" w:name="_Toc341186583"/>
      <w:r w:rsidRPr="00AD02D5">
        <w:lastRenderedPageBreak/>
        <w:t>Podmínky překročení nabídkové ceny</w:t>
      </w:r>
      <w:bookmarkEnd w:id="5"/>
    </w:p>
    <w:p w:rsidR="00911C69" w:rsidRPr="00B770FE" w:rsidRDefault="00911C69" w:rsidP="00911C69">
      <w:pPr>
        <w:pStyle w:val="Zkladntext"/>
        <w:tabs>
          <w:tab w:val="left" w:pos="5040"/>
          <w:tab w:val="left" w:leader="dot" w:pos="9000"/>
        </w:tabs>
        <w:spacing w:before="60"/>
        <w:rPr>
          <w:i/>
          <w:szCs w:val="22"/>
        </w:rPr>
      </w:pPr>
      <w:r w:rsidRPr="00B770FE">
        <w:rPr>
          <w:szCs w:val="22"/>
        </w:rPr>
        <w:t xml:space="preserve">Zadavatelem budou nad rámec smluvní ceny hrazeny pouze práce a dodávky, které si zcela prokazatelně dodatečně objednal. Po ocenění objednaných prací dodavatelem a po dosažení cenové dohody, </w:t>
      </w:r>
      <w:r w:rsidR="00A44D97">
        <w:rPr>
          <w:szCs w:val="22"/>
        </w:rPr>
        <w:br/>
      </w:r>
      <w:r w:rsidRPr="00B770FE">
        <w:rPr>
          <w:szCs w:val="22"/>
        </w:rPr>
        <w:t>v souladu se zákonem č. 526/1990 Sb. o cenách, bude nová cena upravena dodatkem ke smlouvě.</w:t>
      </w:r>
    </w:p>
    <w:p w:rsidR="00911C69" w:rsidRPr="00B770FE" w:rsidRDefault="00911C69" w:rsidP="00911C69">
      <w:pPr>
        <w:pStyle w:val="Zkladntext"/>
        <w:tabs>
          <w:tab w:val="left" w:pos="5040"/>
          <w:tab w:val="left" w:leader="dot" w:pos="9000"/>
        </w:tabs>
        <w:spacing w:before="60"/>
        <w:rPr>
          <w:i/>
          <w:szCs w:val="22"/>
        </w:rPr>
      </w:pPr>
      <w:r w:rsidRPr="00B770FE">
        <w:rPr>
          <w:szCs w:val="22"/>
        </w:rPr>
        <w:t>Cena může být dále zvýšena pouze za těchto podmínek:</w:t>
      </w:r>
    </w:p>
    <w:p w:rsidR="00911C69" w:rsidRPr="00B770FE" w:rsidRDefault="00911C69" w:rsidP="00911C69">
      <w:pPr>
        <w:pStyle w:val="Zkladntext"/>
        <w:numPr>
          <w:ilvl w:val="0"/>
          <w:numId w:val="7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60" w:after="0"/>
        <w:rPr>
          <w:i/>
          <w:szCs w:val="22"/>
        </w:rPr>
      </w:pPr>
      <w:r w:rsidRPr="00B770FE">
        <w:rPr>
          <w:szCs w:val="22"/>
        </w:rPr>
        <w:t>dojde-li ke změnám sazeb DPH, cena bude změněna v souladu s platnými předpisy,</w:t>
      </w:r>
    </w:p>
    <w:p w:rsidR="00911C69" w:rsidRPr="000F0CC3" w:rsidRDefault="00911C69" w:rsidP="00911C69">
      <w:pPr>
        <w:pStyle w:val="Zkladntext"/>
        <w:numPr>
          <w:ilvl w:val="0"/>
          <w:numId w:val="7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60" w:after="0"/>
        <w:rPr>
          <w:i/>
          <w:szCs w:val="22"/>
        </w:rPr>
      </w:pPr>
      <w:r w:rsidRPr="00B770FE">
        <w:rPr>
          <w:szCs w:val="22"/>
        </w:rPr>
        <w:t xml:space="preserve">nabídková (realizační) cena musí být uchazečem garantována nejméně </w:t>
      </w:r>
      <w:r w:rsidR="00EE44D0">
        <w:rPr>
          <w:szCs w:val="22"/>
        </w:rPr>
        <w:t>po dobu 180 dnů</w:t>
      </w:r>
      <w:r w:rsidRPr="00B770FE">
        <w:rPr>
          <w:szCs w:val="22"/>
        </w:rPr>
        <w:t>; pokud nebude možné dokončit dílo v tomto termínu z důvodů na straně zadavatele, je možné upravit cenu pouze v souvislosti s inflací na základě podkladů vydaných ČSÚ.</w:t>
      </w:r>
    </w:p>
    <w:p w:rsidR="00587D74" w:rsidRPr="00AD02D5" w:rsidRDefault="00587D74" w:rsidP="00587D74">
      <w:pPr>
        <w:pStyle w:val="Nadpis2"/>
      </w:pPr>
      <w:bookmarkStart w:id="6" w:name="_Ref225068804"/>
      <w:bookmarkStart w:id="7" w:name="_Toc341186579"/>
      <w:bookmarkStart w:id="8" w:name="_Ref225068029"/>
      <w:bookmarkStart w:id="9" w:name="_Toc341186584"/>
      <w:r w:rsidRPr="00AD02D5">
        <w:t>Výše zaručených úspor</w:t>
      </w:r>
      <w:bookmarkEnd w:id="6"/>
      <w:r w:rsidRPr="00AD02D5">
        <w:t xml:space="preserve"> </w:t>
      </w:r>
      <w:bookmarkEnd w:id="7"/>
    </w:p>
    <w:p w:rsidR="00587D74" w:rsidRDefault="00587D74" w:rsidP="00587D74">
      <w:pPr>
        <w:pStyle w:val="Zkladntext"/>
        <w:tabs>
          <w:tab w:val="left" w:pos="5040"/>
          <w:tab w:val="left" w:leader="dot" w:pos="9000"/>
        </w:tabs>
        <w:spacing w:before="60"/>
        <w:rPr>
          <w:szCs w:val="22"/>
        </w:rPr>
      </w:pPr>
      <w:r w:rsidRPr="00B770FE">
        <w:rPr>
          <w:szCs w:val="22"/>
        </w:rPr>
        <w:t>V rámci tohoto krit</w:t>
      </w:r>
      <w:r>
        <w:rPr>
          <w:szCs w:val="22"/>
        </w:rPr>
        <w:t>é</w:t>
      </w:r>
      <w:r w:rsidRPr="00B770FE">
        <w:rPr>
          <w:szCs w:val="22"/>
        </w:rPr>
        <w:t>ria bude vyčíslena výše zaručených úspor</w:t>
      </w:r>
      <w:r w:rsidRPr="00114555">
        <w:rPr>
          <w:szCs w:val="22"/>
        </w:rPr>
        <w:t xml:space="preserve"> </w:t>
      </w:r>
      <w:r w:rsidRPr="001B65C3">
        <w:rPr>
          <w:szCs w:val="22"/>
        </w:rPr>
        <w:t>úhrnem za všechny formy energie</w:t>
      </w:r>
      <w:r>
        <w:rPr>
          <w:szCs w:val="22"/>
        </w:rPr>
        <w:t xml:space="preserve"> a vodu</w:t>
      </w:r>
      <w:r w:rsidRPr="001B65C3">
        <w:rPr>
          <w:szCs w:val="22"/>
        </w:rPr>
        <w:t xml:space="preserve"> </w:t>
      </w:r>
      <w:r>
        <w:rPr>
          <w:szCs w:val="22"/>
        </w:rPr>
        <w:br/>
      </w:r>
      <w:r w:rsidRPr="001B65C3">
        <w:rPr>
          <w:szCs w:val="22"/>
        </w:rPr>
        <w:t xml:space="preserve">a ostatní provozní náklady </w:t>
      </w:r>
      <w:r>
        <w:rPr>
          <w:szCs w:val="22"/>
        </w:rPr>
        <w:t xml:space="preserve">(tj. celkových nákladů) </w:t>
      </w:r>
      <w:r w:rsidRPr="001B65C3">
        <w:rPr>
          <w:szCs w:val="22"/>
        </w:rPr>
        <w:t xml:space="preserve">ve finančním vyjádření za </w:t>
      </w:r>
      <w:r>
        <w:rPr>
          <w:szCs w:val="22"/>
        </w:rPr>
        <w:t xml:space="preserve">předpokládanou </w:t>
      </w:r>
      <w:r w:rsidRPr="001B65C3">
        <w:rPr>
          <w:szCs w:val="22"/>
        </w:rPr>
        <w:t xml:space="preserve">dobu </w:t>
      </w:r>
      <w:r>
        <w:rPr>
          <w:szCs w:val="22"/>
        </w:rPr>
        <w:t xml:space="preserve">trvání smluvního </w:t>
      </w:r>
      <w:r w:rsidRPr="005B1311">
        <w:rPr>
          <w:szCs w:val="22"/>
        </w:rPr>
        <w:t>vztahu 12 let oproti celkovým</w:t>
      </w:r>
      <w:r>
        <w:rPr>
          <w:szCs w:val="22"/>
        </w:rPr>
        <w:t xml:space="preserve"> referenčním nákladům</w:t>
      </w:r>
      <w:r w:rsidRPr="00D61784">
        <w:rPr>
          <w:szCs w:val="22"/>
        </w:rPr>
        <w:t xml:space="preserve"> </w:t>
      </w:r>
      <w:r w:rsidRPr="00EE44D0">
        <w:rPr>
          <w:szCs w:val="22"/>
        </w:rPr>
        <w:t xml:space="preserve">(tzn. ve výsledné hodnotě </w:t>
      </w:r>
      <w:r w:rsidRPr="00EE44D0">
        <w:t>není zahrnuta platba za energetický management, financování apod.)</w:t>
      </w:r>
      <w:r>
        <w:rPr>
          <w:szCs w:val="22"/>
        </w:rPr>
        <w:t>.</w:t>
      </w:r>
    </w:p>
    <w:p w:rsidR="00587D74" w:rsidRPr="001B65C3" w:rsidRDefault="00587D74" w:rsidP="00587D74">
      <w:pPr>
        <w:pStyle w:val="Zkladntext"/>
        <w:tabs>
          <w:tab w:val="left" w:pos="5040"/>
          <w:tab w:val="left" w:leader="dot" w:pos="9000"/>
        </w:tabs>
        <w:spacing w:before="60"/>
        <w:rPr>
          <w:szCs w:val="22"/>
        </w:rPr>
      </w:pPr>
      <w:r>
        <w:rPr>
          <w:szCs w:val="22"/>
        </w:rPr>
        <w:t xml:space="preserve">Hodnocení nabídek bude provedeno </w:t>
      </w:r>
      <w:r w:rsidRPr="00923D78">
        <w:rPr>
          <w:b/>
          <w:szCs w:val="22"/>
        </w:rPr>
        <w:t>ve prospěch vyšší hodnoty</w:t>
      </w:r>
      <w:r>
        <w:rPr>
          <w:szCs w:val="22"/>
        </w:rPr>
        <w:t>.</w:t>
      </w:r>
    </w:p>
    <w:p w:rsidR="00587D74" w:rsidRPr="00B770FE" w:rsidRDefault="00587D74" w:rsidP="00587D74">
      <w:pPr>
        <w:pStyle w:val="Zkladntext"/>
        <w:tabs>
          <w:tab w:val="left" w:pos="5040"/>
          <w:tab w:val="left" w:leader="dot" w:pos="9000"/>
        </w:tabs>
        <w:spacing w:before="60"/>
        <w:rPr>
          <w:i/>
          <w:szCs w:val="22"/>
        </w:rPr>
      </w:pPr>
      <w:r w:rsidRPr="00B770FE">
        <w:rPr>
          <w:szCs w:val="22"/>
        </w:rPr>
        <w:t>V nabídce</w:t>
      </w:r>
      <w:r>
        <w:rPr>
          <w:szCs w:val="22"/>
        </w:rPr>
        <w:t>, resp.</w:t>
      </w:r>
      <w:r w:rsidRPr="00B770FE">
        <w:rPr>
          <w:szCs w:val="22"/>
        </w:rPr>
        <w:t xml:space="preserve"> v návrhu smlouvy musí být jednoznačně specifikovaná výše garantované úspory </w:t>
      </w:r>
      <w:r>
        <w:rPr>
          <w:szCs w:val="22"/>
        </w:rPr>
        <w:br/>
      </w:r>
      <w:r w:rsidRPr="00B770FE">
        <w:rPr>
          <w:szCs w:val="22"/>
        </w:rPr>
        <w:t>v každém roce trvání smluvního vztahu a způsob, jakým uchazeč tuto úsporu garantuje, tj. jaké budou peněžité sankce uchazeče v případě, že dosažená úspora bude nižší, než garantovaná úspora</w:t>
      </w:r>
      <w:r w:rsidRPr="003976AE">
        <w:rPr>
          <w:szCs w:val="22"/>
        </w:rPr>
        <w:t>.</w:t>
      </w:r>
      <w:r>
        <w:rPr>
          <w:szCs w:val="22"/>
        </w:rPr>
        <w:t xml:space="preserve"> </w:t>
      </w:r>
      <w:r w:rsidRPr="00732579">
        <w:rPr>
          <w:b/>
          <w:szCs w:val="22"/>
        </w:rPr>
        <w:t>V nabídce bude také uveden výpočet</w:t>
      </w:r>
      <w:r>
        <w:rPr>
          <w:b/>
          <w:szCs w:val="22"/>
        </w:rPr>
        <w:t xml:space="preserve"> úspory v případech</w:t>
      </w:r>
      <w:r w:rsidRPr="00732579">
        <w:rPr>
          <w:b/>
          <w:szCs w:val="22"/>
        </w:rPr>
        <w:t xml:space="preserve">, kdy se nebude prokazovat </w:t>
      </w:r>
      <w:r w:rsidR="00194618">
        <w:rPr>
          <w:b/>
          <w:szCs w:val="22"/>
        </w:rPr>
        <w:t xml:space="preserve">pravidelným </w:t>
      </w:r>
      <w:r w:rsidRPr="00732579">
        <w:rPr>
          <w:b/>
          <w:szCs w:val="22"/>
        </w:rPr>
        <w:t>měřením</w:t>
      </w:r>
      <w:r w:rsidR="00D6229C">
        <w:rPr>
          <w:b/>
          <w:szCs w:val="22"/>
        </w:rPr>
        <w:t xml:space="preserve"> </w:t>
      </w:r>
      <w:r w:rsidR="00194618">
        <w:rPr>
          <w:b/>
          <w:szCs w:val="22"/>
        </w:rPr>
        <w:t xml:space="preserve">spotřeby </w:t>
      </w:r>
      <w:r w:rsidR="00D6229C">
        <w:rPr>
          <w:b/>
          <w:szCs w:val="22"/>
        </w:rPr>
        <w:t>(tj. pro případy fixní úspory)</w:t>
      </w:r>
      <w:r w:rsidRPr="00732579">
        <w:rPr>
          <w:b/>
          <w:szCs w:val="22"/>
        </w:rPr>
        <w:t>.</w:t>
      </w:r>
    </w:p>
    <w:p w:rsidR="0016578D" w:rsidRPr="00587D74" w:rsidRDefault="00587D74" w:rsidP="00587D74">
      <w:pPr>
        <w:pStyle w:val="Zkladntext"/>
        <w:tabs>
          <w:tab w:val="left" w:pos="5040"/>
          <w:tab w:val="left" w:leader="dot" w:pos="9000"/>
        </w:tabs>
        <w:spacing w:before="60"/>
        <w:rPr>
          <w:i/>
          <w:szCs w:val="22"/>
        </w:rPr>
      </w:pPr>
      <w:r w:rsidRPr="00B770FE">
        <w:rPr>
          <w:szCs w:val="22"/>
        </w:rPr>
        <w:t xml:space="preserve">Specifikace roční výše zaručených úspor energie v technických jednotkách a úspor provozních nákladů </w:t>
      </w:r>
      <w:r>
        <w:rPr>
          <w:szCs w:val="22"/>
        </w:rPr>
        <w:br/>
      </w:r>
      <w:r w:rsidRPr="00B770FE">
        <w:rPr>
          <w:szCs w:val="22"/>
        </w:rPr>
        <w:t>ve finančních jednotkách bude rovněž uvedena v samostatném souboru v elektronické podobě, který je součástí zadávací dokumentace a je povinností uchazeče jej doložit vyplněný do nabídky.</w:t>
      </w:r>
      <w:bookmarkEnd w:id="8"/>
      <w:bookmarkEnd w:id="9"/>
    </w:p>
    <w:p w:rsidR="00923D78" w:rsidRPr="00923D78" w:rsidRDefault="00923D78" w:rsidP="00587D74">
      <w:pPr>
        <w:pStyle w:val="Nadpis2"/>
      </w:pPr>
      <w:r>
        <w:t xml:space="preserve">Výše </w:t>
      </w:r>
      <w:r w:rsidR="00194618">
        <w:t>investičních nákladů</w:t>
      </w:r>
    </w:p>
    <w:p w:rsidR="005912F6" w:rsidRDefault="00366CEE" w:rsidP="00366CEE">
      <w:pPr>
        <w:pStyle w:val="Zkladntext"/>
        <w:tabs>
          <w:tab w:val="left" w:pos="5040"/>
          <w:tab w:val="left" w:leader="dot" w:pos="9000"/>
        </w:tabs>
        <w:rPr>
          <w:szCs w:val="22"/>
        </w:rPr>
      </w:pPr>
      <w:r w:rsidRPr="00923D78">
        <w:rPr>
          <w:szCs w:val="22"/>
        </w:rPr>
        <w:t xml:space="preserve">Uchazeč dále v nabídce jednoznačně uvede výši </w:t>
      </w:r>
      <w:r>
        <w:rPr>
          <w:szCs w:val="22"/>
        </w:rPr>
        <w:t>investičních nákladů na realizaci všech navržených úsporných opatření</w:t>
      </w:r>
      <w:r w:rsidR="002D45DA">
        <w:rPr>
          <w:szCs w:val="22"/>
        </w:rPr>
        <w:t xml:space="preserve">, </w:t>
      </w:r>
      <w:r w:rsidR="00EE2574">
        <w:rPr>
          <w:szCs w:val="22"/>
        </w:rPr>
        <w:t>vzorový dokument 5e v Části 5 ZD</w:t>
      </w:r>
      <w:r w:rsidRPr="003976AE">
        <w:rPr>
          <w:szCs w:val="22"/>
        </w:rPr>
        <w:t>)</w:t>
      </w:r>
      <w:r w:rsidR="002D45DA" w:rsidRPr="003976AE">
        <w:rPr>
          <w:szCs w:val="22"/>
        </w:rPr>
        <w:t>.</w:t>
      </w:r>
      <w:r w:rsidR="002D45DA">
        <w:rPr>
          <w:szCs w:val="22"/>
        </w:rPr>
        <w:t xml:space="preserve"> </w:t>
      </w:r>
    </w:p>
    <w:p w:rsidR="002D45DA" w:rsidRDefault="002D45DA" w:rsidP="00366CEE">
      <w:pPr>
        <w:pStyle w:val="Zkladntext"/>
        <w:tabs>
          <w:tab w:val="left" w:pos="5040"/>
          <w:tab w:val="left" w:leader="dot" w:pos="9000"/>
        </w:tabs>
        <w:rPr>
          <w:szCs w:val="22"/>
        </w:rPr>
      </w:pPr>
      <w:r>
        <w:rPr>
          <w:szCs w:val="22"/>
        </w:rPr>
        <w:t xml:space="preserve">Hodnocení nabídek bude provedeno </w:t>
      </w:r>
      <w:r w:rsidRPr="00923D78">
        <w:rPr>
          <w:b/>
          <w:szCs w:val="22"/>
        </w:rPr>
        <w:t>ve prospěch vyšší hodnoty</w:t>
      </w:r>
      <w:r>
        <w:rPr>
          <w:szCs w:val="22"/>
        </w:rPr>
        <w:t>.</w:t>
      </w:r>
    </w:p>
    <w:p w:rsidR="00584E97" w:rsidRPr="00923D78" w:rsidRDefault="00820BAC" w:rsidP="00587D74">
      <w:pPr>
        <w:pStyle w:val="Nadpis2"/>
      </w:pPr>
      <w:r>
        <w:t>Podíl úspor prokazovaných na základě měření spotřeby celého objektu</w:t>
      </w:r>
      <w:r w:rsidR="003605FF">
        <w:t>, resp. objektů</w:t>
      </w:r>
      <w:r>
        <w:t xml:space="preserve"> k celkovému objemu úspor</w:t>
      </w:r>
    </w:p>
    <w:p w:rsidR="00CE0719" w:rsidRDefault="00CE0719" w:rsidP="00584E97">
      <w:pPr>
        <w:pStyle w:val="Zkladntext"/>
        <w:tabs>
          <w:tab w:val="left" w:pos="5040"/>
          <w:tab w:val="left" w:leader="dot" w:pos="9000"/>
        </w:tabs>
        <w:rPr>
          <w:szCs w:val="22"/>
        </w:rPr>
      </w:pPr>
      <w:r w:rsidRPr="00923D78">
        <w:rPr>
          <w:szCs w:val="22"/>
        </w:rPr>
        <w:t xml:space="preserve">Uchazeč dále v nabídce jednoznačně </w:t>
      </w:r>
      <w:r>
        <w:rPr>
          <w:szCs w:val="22"/>
        </w:rPr>
        <w:t xml:space="preserve">specifikuje, které úspory budou prokazované </w:t>
      </w:r>
      <w:r w:rsidR="00D6229C">
        <w:rPr>
          <w:szCs w:val="22"/>
        </w:rPr>
        <w:t>celkovým</w:t>
      </w:r>
      <w:r>
        <w:rPr>
          <w:szCs w:val="22"/>
        </w:rPr>
        <w:t xml:space="preserve"> měřením</w:t>
      </w:r>
      <w:r w:rsidR="003605FF">
        <w:rPr>
          <w:szCs w:val="22"/>
        </w:rPr>
        <w:t xml:space="preserve"> spotřeby</w:t>
      </w:r>
      <w:r>
        <w:rPr>
          <w:szCs w:val="22"/>
        </w:rPr>
        <w:t xml:space="preserve"> (resp. v souladu s IPMVP</w:t>
      </w:r>
      <w:r>
        <w:rPr>
          <w:rStyle w:val="Znakapoznpodarou"/>
          <w:szCs w:val="22"/>
        </w:rPr>
        <w:footnoteReference w:id="1"/>
      </w:r>
      <w:r>
        <w:rPr>
          <w:szCs w:val="22"/>
        </w:rPr>
        <w:t xml:space="preserve"> – typ C – celá budova). Ve své nabídce uchazeč vyčíslí celkový objem takto prokazovaných úspor, resp. jejich podíl k celkovému objemu všech úspor (vzorový </w:t>
      </w:r>
      <w:r w:rsidRPr="00D6229C">
        <w:rPr>
          <w:szCs w:val="22"/>
        </w:rPr>
        <w:t>dokument 8a</w:t>
      </w:r>
      <w:r>
        <w:rPr>
          <w:szCs w:val="22"/>
        </w:rPr>
        <w:t xml:space="preserve"> v Části 8 ZD). Hodnocení nabídek bude provedeno </w:t>
      </w:r>
      <w:r w:rsidRPr="00923D78">
        <w:rPr>
          <w:b/>
          <w:szCs w:val="22"/>
        </w:rPr>
        <w:t>ve prospěch vyšší hodnoty</w:t>
      </w:r>
      <w:r w:rsidRPr="00584E97">
        <w:rPr>
          <w:szCs w:val="22"/>
        </w:rPr>
        <w:t xml:space="preserve"> tohoto podílu</w:t>
      </w:r>
      <w:r>
        <w:rPr>
          <w:szCs w:val="22"/>
        </w:rPr>
        <w:t>.</w:t>
      </w:r>
    </w:p>
    <w:p w:rsidR="00BA2726" w:rsidRDefault="00BA2726" w:rsidP="00584E97">
      <w:pPr>
        <w:pStyle w:val="Zkladntext"/>
        <w:tabs>
          <w:tab w:val="left" w:pos="5040"/>
          <w:tab w:val="left" w:leader="dot" w:pos="9000"/>
        </w:tabs>
        <w:rPr>
          <w:szCs w:val="22"/>
        </w:rPr>
      </w:pPr>
    </w:p>
    <w:p w:rsidR="00911C69" w:rsidRPr="00911C69" w:rsidRDefault="00911C69" w:rsidP="0023588A">
      <w:pPr>
        <w:pStyle w:val="Nadpis1"/>
      </w:pPr>
      <w:r w:rsidRPr="00911C69">
        <w:lastRenderedPageBreak/>
        <w:t>ZPŮSOB HODNOCENÍ</w:t>
      </w:r>
    </w:p>
    <w:p w:rsidR="00D369FB" w:rsidRDefault="00D369FB" w:rsidP="00911C69">
      <w:pPr>
        <w:suppressAutoHyphens/>
        <w:rPr>
          <w:rFonts w:cstheme="minorHAnsi"/>
          <w:lang w:eastAsia="ar-SA"/>
        </w:rPr>
      </w:pPr>
      <w:r w:rsidRPr="00D369FB">
        <w:rPr>
          <w:rFonts w:cstheme="minorHAnsi"/>
          <w:lang w:eastAsia="ar-SA"/>
        </w:rPr>
        <w:t xml:space="preserve">Pro hodnocení nabídek použije hodnotící komise bodovací stupnici v rozsahu 1 až 100. Každé jednotlivé nabídce je dle dílčího kritéria přidělena bodová hodnota, která odráží úspěšnost předmětné nabídky </w:t>
      </w:r>
      <w:r w:rsidR="00A44D97">
        <w:rPr>
          <w:rFonts w:cstheme="minorHAnsi"/>
          <w:lang w:eastAsia="ar-SA"/>
        </w:rPr>
        <w:br/>
      </w:r>
      <w:r w:rsidRPr="00D369FB">
        <w:rPr>
          <w:rFonts w:cstheme="minorHAnsi"/>
          <w:lang w:eastAsia="ar-SA"/>
        </w:rPr>
        <w:t xml:space="preserve">v rámci dílčího kritéria. </w:t>
      </w:r>
    </w:p>
    <w:p w:rsidR="00D02D37" w:rsidRDefault="00D369FB" w:rsidP="00520903">
      <w:pPr>
        <w:suppressAutoHyphens/>
        <w:spacing w:before="240"/>
        <w:rPr>
          <w:rFonts w:cstheme="minorHAnsi"/>
          <w:lang w:eastAsia="ar-SA"/>
        </w:rPr>
      </w:pPr>
      <w:r w:rsidRPr="00D369FB">
        <w:rPr>
          <w:rFonts w:cstheme="minorHAnsi"/>
          <w:lang w:eastAsia="ar-SA"/>
        </w:rPr>
        <w:t xml:space="preserve">Pro číselně vyjádřitelná kritéria, pro která má </w:t>
      </w:r>
      <w:r w:rsidRPr="00E4204A">
        <w:rPr>
          <w:rFonts w:cstheme="minorHAnsi"/>
          <w:b/>
          <w:lang w:eastAsia="ar-SA"/>
        </w:rPr>
        <w:t xml:space="preserve">nejvhodnější nabídka </w:t>
      </w:r>
      <w:r w:rsidR="00A031B6">
        <w:rPr>
          <w:rFonts w:cstheme="minorHAnsi"/>
          <w:b/>
          <w:lang w:eastAsia="ar-SA"/>
        </w:rPr>
        <w:t>nejvyšší</w:t>
      </w:r>
      <w:r w:rsidR="00A031B6" w:rsidRPr="00E4204A">
        <w:rPr>
          <w:rFonts w:cstheme="minorHAnsi"/>
          <w:b/>
          <w:lang w:eastAsia="ar-SA"/>
        </w:rPr>
        <w:t xml:space="preserve"> </w:t>
      </w:r>
      <w:r w:rsidRPr="00E4204A">
        <w:rPr>
          <w:rFonts w:cstheme="minorHAnsi"/>
          <w:b/>
          <w:lang w:eastAsia="ar-SA"/>
        </w:rPr>
        <w:t>hodnotu</w:t>
      </w:r>
      <w:r w:rsidRPr="00D369FB">
        <w:rPr>
          <w:rFonts w:cstheme="minorHAnsi"/>
          <w:lang w:eastAsia="ar-SA"/>
        </w:rPr>
        <w:t xml:space="preserve"> kritéria (například výše </w:t>
      </w:r>
      <w:r w:rsidR="00000B00">
        <w:rPr>
          <w:rFonts w:cstheme="minorHAnsi"/>
          <w:lang w:eastAsia="ar-SA"/>
        </w:rPr>
        <w:t>zaručených</w:t>
      </w:r>
      <w:r w:rsidRPr="00D369FB">
        <w:rPr>
          <w:rFonts w:cstheme="minorHAnsi"/>
          <w:lang w:eastAsia="ar-SA"/>
        </w:rPr>
        <w:t xml:space="preserve"> úspor</w:t>
      </w:r>
      <w:r w:rsidR="00E4204A">
        <w:rPr>
          <w:rFonts w:cstheme="minorHAnsi"/>
          <w:lang w:eastAsia="ar-SA"/>
        </w:rPr>
        <w:t xml:space="preserve"> </w:t>
      </w:r>
      <w:r w:rsidR="001245E5">
        <w:rPr>
          <w:rFonts w:cstheme="minorHAnsi"/>
          <w:lang w:eastAsia="ar-SA"/>
        </w:rPr>
        <w:t>apod.</w:t>
      </w:r>
      <w:r w:rsidRPr="00D369FB">
        <w:rPr>
          <w:rFonts w:cstheme="minorHAnsi"/>
          <w:lang w:eastAsia="ar-SA"/>
        </w:rPr>
        <w:t xml:space="preserve">) získá hodnocená nabídka bodovou hodnotu, která vznikne </w:t>
      </w:r>
      <w:r w:rsidR="00776B50">
        <w:rPr>
          <w:rFonts w:cstheme="minorHAnsi"/>
          <w:lang w:eastAsia="ar-SA"/>
        </w:rPr>
        <w:t>výpočtem dle následujícího vzorce:</w:t>
      </w:r>
      <w:r w:rsidRPr="00D369FB">
        <w:rPr>
          <w:rFonts w:cstheme="minorHAnsi"/>
          <w:lang w:eastAsia="ar-SA"/>
        </w:rPr>
        <w:t xml:space="preserve"> </w:t>
      </w:r>
    </w:p>
    <w:p w:rsidR="004A78A4" w:rsidRPr="00BD7ED1" w:rsidRDefault="00CD5CFE" w:rsidP="00D369FB">
      <w:pPr>
        <w:suppressAutoHyphens/>
        <w:rPr>
          <w:rFonts w:cstheme="minorHAnsi"/>
          <w:color w:val="365F91" w:themeColor="accent1" w:themeShade="BF"/>
          <w:lang w:eastAsia="ar-SA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color w:val="365F91" w:themeColor="accent1" w:themeShade="BF"/>
              <w:lang w:eastAsia="ar-SA"/>
            </w:rPr>
            <m:t xml:space="preserve">Bodová hodnota kritéria =100* </m:t>
          </m:r>
          <m:f>
            <m:fPr>
              <m:ctrl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>HN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>MAX</m:t>
              </m:r>
            </m:den>
          </m:f>
        </m:oMath>
      </m:oMathPara>
    </w:p>
    <w:p w:rsidR="001245E5" w:rsidRDefault="00776B50" w:rsidP="00D369FB">
      <w:pPr>
        <w:suppressAutoHyphens/>
        <w:rPr>
          <w:rFonts w:cstheme="minorHAnsi"/>
          <w:lang w:eastAsia="ar-SA"/>
        </w:rPr>
      </w:pPr>
      <w:r w:rsidRPr="00E4204A">
        <w:rPr>
          <w:rFonts w:cstheme="minorHAnsi"/>
          <w:lang w:eastAsia="ar-SA"/>
        </w:rPr>
        <w:t>kde</w:t>
      </w:r>
    </w:p>
    <w:p w:rsidR="00776B50" w:rsidRDefault="00776B50" w:rsidP="00D369FB">
      <w:pPr>
        <w:suppressAutoHyphens/>
        <w:rPr>
          <w:rFonts w:cstheme="minorHAnsi"/>
          <w:lang w:eastAsia="ar-SA"/>
        </w:rPr>
      </w:pPr>
      <w:r>
        <w:rPr>
          <w:rFonts w:cstheme="minorHAnsi"/>
          <w:lang w:eastAsia="ar-SA"/>
        </w:rPr>
        <w:t xml:space="preserve">HN </w:t>
      </w:r>
      <w:r>
        <w:rPr>
          <w:rFonts w:cstheme="minorHAnsi"/>
          <w:lang w:eastAsia="ar-SA"/>
        </w:rPr>
        <w:tab/>
        <w:t>je hodnota nabídky</w:t>
      </w:r>
      <w:r w:rsidR="00BD7ED1">
        <w:rPr>
          <w:rFonts w:cstheme="minorHAnsi"/>
          <w:lang w:eastAsia="ar-SA"/>
        </w:rPr>
        <w:t>;</w:t>
      </w:r>
    </w:p>
    <w:p w:rsidR="00BD7ED1" w:rsidRPr="00D369FB" w:rsidRDefault="00BD7ED1" w:rsidP="00D369FB">
      <w:pPr>
        <w:suppressAutoHyphens/>
        <w:rPr>
          <w:rFonts w:cstheme="minorHAnsi"/>
          <w:lang w:eastAsia="ar-SA"/>
        </w:rPr>
      </w:pPr>
      <w:r>
        <w:rPr>
          <w:rFonts w:cstheme="minorHAnsi"/>
          <w:lang w:eastAsia="ar-SA"/>
        </w:rPr>
        <w:t xml:space="preserve">MAX </w:t>
      </w:r>
      <w:r>
        <w:rPr>
          <w:rFonts w:cstheme="minorHAnsi"/>
          <w:lang w:eastAsia="ar-SA"/>
        </w:rPr>
        <w:tab/>
        <w:t>je maximální hodnota z předložených nabídek</w:t>
      </w:r>
      <w:r w:rsidR="00031CE6">
        <w:rPr>
          <w:rFonts w:cstheme="minorHAnsi"/>
          <w:lang w:eastAsia="ar-SA"/>
        </w:rPr>
        <w:t xml:space="preserve"> (tj. </w:t>
      </w:r>
      <w:r w:rsidR="009A4C2C">
        <w:rPr>
          <w:rFonts w:cstheme="minorHAnsi"/>
          <w:lang w:eastAsia="ar-SA"/>
        </w:rPr>
        <w:t xml:space="preserve">hodnota </w:t>
      </w:r>
      <w:r w:rsidR="00031CE6">
        <w:rPr>
          <w:rFonts w:cstheme="minorHAnsi"/>
          <w:lang w:eastAsia="ar-SA"/>
        </w:rPr>
        <w:t xml:space="preserve">nejvhodnější </w:t>
      </w:r>
      <w:r w:rsidR="009A4C2C">
        <w:rPr>
          <w:rFonts w:cstheme="minorHAnsi"/>
          <w:lang w:eastAsia="ar-SA"/>
        </w:rPr>
        <w:t>nabídky</w:t>
      </w:r>
      <w:r w:rsidR="00031CE6">
        <w:rPr>
          <w:rFonts w:cstheme="minorHAnsi"/>
          <w:lang w:eastAsia="ar-SA"/>
        </w:rPr>
        <w:t>)</w:t>
      </w:r>
      <w:r w:rsidR="00F811FC">
        <w:rPr>
          <w:rFonts w:cstheme="minorHAnsi"/>
          <w:lang w:eastAsia="ar-SA"/>
        </w:rPr>
        <w:t>.</w:t>
      </w:r>
    </w:p>
    <w:p w:rsidR="00D02D37" w:rsidRDefault="00D369FB" w:rsidP="005912F6">
      <w:pPr>
        <w:suppressAutoHyphens/>
        <w:spacing w:before="240"/>
        <w:rPr>
          <w:rFonts w:cstheme="minorHAnsi"/>
          <w:lang w:eastAsia="ar-SA"/>
        </w:rPr>
      </w:pPr>
      <w:r w:rsidRPr="00D369FB">
        <w:rPr>
          <w:rFonts w:cstheme="minorHAnsi"/>
          <w:lang w:eastAsia="ar-SA"/>
        </w:rPr>
        <w:t xml:space="preserve">Pro číselně vyjádřitelná kritéria, pro která má </w:t>
      </w:r>
      <w:r w:rsidRPr="00E4204A">
        <w:rPr>
          <w:rFonts w:cstheme="minorHAnsi"/>
          <w:b/>
          <w:lang w:eastAsia="ar-SA"/>
        </w:rPr>
        <w:t xml:space="preserve">nejvhodnější nabídka </w:t>
      </w:r>
      <w:r w:rsidR="00A031B6">
        <w:rPr>
          <w:rFonts w:cstheme="minorHAnsi"/>
          <w:b/>
          <w:lang w:eastAsia="ar-SA"/>
        </w:rPr>
        <w:t>nejnižší</w:t>
      </w:r>
      <w:r w:rsidR="00A031B6" w:rsidRPr="00E4204A">
        <w:rPr>
          <w:rFonts w:cstheme="minorHAnsi"/>
          <w:b/>
          <w:lang w:eastAsia="ar-SA"/>
        </w:rPr>
        <w:t xml:space="preserve"> </w:t>
      </w:r>
      <w:r w:rsidRPr="00E4204A">
        <w:rPr>
          <w:rFonts w:cstheme="minorHAnsi"/>
          <w:b/>
          <w:lang w:eastAsia="ar-SA"/>
        </w:rPr>
        <w:t>hodnotu</w:t>
      </w:r>
      <w:r w:rsidRPr="00D369FB">
        <w:rPr>
          <w:rFonts w:cstheme="minorHAnsi"/>
          <w:lang w:eastAsia="ar-SA"/>
        </w:rPr>
        <w:t xml:space="preserve"> kritéria (</w:t>
      </w:r>
      <w:r>
        <w:rPr>
          <w:rFonts w:cstheme="minorHAnsi"/>
          <w:lang w:eastAsia="ar-SA"/>
        </w:rPr>
        <w:t>nabídková cena</w:t>
      </w:r>
      <w:r w:rsidRPr="00D369FB">
        <w:rPr>
          <w:rFonts w:cstheme="minorHAnsi"/>
          <w:lang w:eastAsia="ar-SA"/>
        </w:rPr>
        <w:t xml:space="preserve">) získá hodnocená nabídka bodovou hodnotu, která vznikne </w:t>
      </w:r>
      <w:r w:rsidR="00E4204A">
        <w:rPr>
          <w:rFonts w:cstheme="minorHAnsi"/>
          <w:lang w:eastAsia="ar-SA"/>
        </w:rPr>
        <w:t>výpočtem dle následujícího vzorce:</w:t>
      </w:r>
      <w:r w:rsidRPr="00D369FB">
        <w:rPr>
          <w:rFonts w:cstheme="minorHAnsi"/>
          <w:lang w:eastAsia="ar-SA"/>
        </w:rPr>
        <w:t xml:space="preserve"> </w:t>
      </w:r>
    </w:p>
    <w:p w:rsidR="00E4204A" w:rsidRPr="00BD7ED1" w:rsidRDefault="00C012CC" w:rsidP="00E4204A">
      <w:pPr>
        <w:suppressAutoHyphens/>
        <w:rPr>
          <w:rFonts w:cstheme="minorHAnsi"/>
          <w:color w:val="365F91" w:themeColor="accent1" w:themeShade="BF"/>
          <w:lang w:eastAsia="ar-SA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color w:val="365F91" w:themeColor="accent1" w:themeShade="BF"/>
              <w:lang w:eastAsia="ar-SA"/>
            </w:rPr>
            <m:t xml:space="preserve">Bodová hodnota kritéria =100* </m:t>
          </m:r>
          <m:f>
            <m:fPr>
              <m:ctrl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>MIN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>HN</m:t>
              </m:r>
            </m:den>
          </m:f>
        </m:oMath>
      </m:oMathPara>
    </w:p>
    <w:p w:rsidR="00E4204A" w:rsidRDefault="00E4204A" w:rsidP="00D369FB">
      <w:pPr>
        <w:suppressAutoHyphens/>
        <w:rPr>
          <w:rFonts w:cstheme="minorHAnsi"/>
          <w:lang w:eastAsia="ar-SA"/>
        </w:rPr>
      </w:pPr>
      <w:r>
        <w:rPr>
          <w:rFonts w:cstheme="minorHAnsi"/>
          <w:lang w:eastAsia="ar-SA"/>
        </w:rPr>
        <w:t xml:space="preserve">kde </w:t>
      </w:r>
    </w:p>
    <w:p w:rsidR="00E4204A" w:rsidRDefault="00E4204A" w:rsidP="00D369FB">
      <w:pPr>
        <w:suppressAutoHyphens/>
        <w:rPr>
          <w:rFonts w:cstheme="minorHAnsi"/>
          <w:lang w:eastAsia="ar-SA"/>
        </w:rPr>
      </w:pPr>
      <w:r>
        <w:rPr>
          <w:rFonts w:cstheme="minorHAnsi"/>
          <w:lang w:eastAsia="ar-SA"/>
        </w:rPr>
        <w:t>HN</w:t>
      </w:r>
      <w:r>
        <w:rPr>
          <w:rFonts w:cstheme="minorHAnsi"/>
          <w:lang w:eastAsia="ar-SA"/>
        </w:rPr>
        <w:tab/>
        <w:t>je hodnota nabídky;</w:t>
      </w:r>
    </w:p>
    <w:p w:rsidR="00E4204A" w:rsidRDefault="00E4204A" w:rsidP="00D369FB">
      <w:pPr>
        <w:suppressAutoHyphens/>
        <w:rPr>
          <w:rFonts w:cstheme="minorHAnsi"/>
          <w:lang w:eastAsia="ar-SA"/>
        </w:rPr>
      </w:pPr>
      <w:r>
        <w:rPr>
          <w:rFonts w:cstheme="minorHAnsi"/>
          <w:lang w:eastAsia="ar-SA"/>
        </w:rPr>
        <w:t>MIN</w:t>
      </w:r>
      <w:r>
        <w:rPr>
          <w:rFonts w:cstheme="minorHAnsi"/>
          <w:lang w:eastAsia="ar-SA"/>
        </w:rPr>
        <w:tab/>
        <w:t>je minimální hodnota z předložených nabídek</w:t>
      </w:r>
      <w:r w:rsidR="00F811FC">
        <w:rPr>
          <w:rFonts w:cstheme="minorHAnsi"/>
          <w:lang w:eastAsia="ar-SA"/>
        </w:rPr>
        <w:t xml:space="preserve"> (tj. </w:t>
      </w:r>
      <w:r w:rsidR="009A4C2C">
        <w:rPr>
          <w:rFonts w:cstheme="minorHAnsi"/>
          <w:lang w:eastAsia="ar-SA"/>
        </w:rPr>
        <w:t xml:space="preserve">hodnota </w:t>
      </w:r>
      <w:r w:rsidR="00F811FC">
        <w:rPr>
          <w:rFonts w:cstheme="minorHAnsi"/>
          <w:lang w:eastAsia="ar-SA"/>
        </w:rPr>
        <w:t>nejvhodnější nabídk</w:t>
      </w:r>
      <w:r w:rsidR="009A4C2C">
        <w:rPr>
          <w:rFonts w:cstheme="minorHAnsi"/>
          <w:lang w:eastAsia="ar-SA"/>
        </w:rPr>
        <w:t>y</w:t>
      </w:r>
      <w:r w:rsidR="00F811FC">
        <w:rPr>
          <w:rFonts w:cstheme="minorHAnsi"/>
          <w:lang w:eastAsia="ar-SA"/>
        </w:rPr>
        <w:t>).</w:t>
      </w:r>
    </w:p>
    <w:p w:rsidR="007F303A" w:rsidRDefault="007F303A" w:rsidP="00CE0719">
      <w:pPr>
        <w:suppressAutoHyphens/>
        <w:spacing w:before="360"/>
        <w:rPr>
          <w:rFonts w:cstheme="minorHAnsi"/>
          <w:lang w:eastAsia="ar-SA"/>
        </w:rPr>
      </w:pPr>
      <w:r w:rsidRPr="00D369FB">
        <w:rPr>
          <w:rFonts w:cstheme="minorHAnsi"/>
          <w:lang w:eastAsia="ar-SA"/>
        </w:rPr>
        <w:t xml:space="preserve">Hodnocení podle bodovací metody provede hodnotící komise tak, že </w:t>
      </w:r>
      <w:r w:rsidRPr="00C012CC">
        <w:rPr>
          <w:rFonts w:cstheme="minorHAnsi"/>
          <w:b/>
          <w:lang w:eastAsia="ar-SA"/>
        </w:rPr>
        <w:t>bodová hodnocení nabídek dle</w:t>
      </w:r>
      <w:r w:rsidR="004111C0">
        <w:rPr>
          <w:rFonts w:cstheme="minorHAnsi"/>
          <w:b/>
          <w:lang w:eastAsia="ar-SA"/>
        </w:rPr>
        <w:t xml:space="preserve"> dílčích</w:t>
      </w:r>
      <w:r w:rsidRPr="00C012CC">
        <w:rPr>
          <w:rFonts w:cstheme="minorHAnsi"/>
          <w:b/>
          <w:lang w:eastAsia="ar-SA"/>
        </w:rPr>
        <w:t xml:space="preserve"> kritérií vynásobí příslušnou vahou daného </w:t>
      </w:r>
      <w:r w:rsidR="004111C0">
        <w:rPr>
          <w:rFonts w:cstheme="minorHAnsi"/>
          <w:b/>
          <w:lang w:eastAsia="ar-SA"/>
        </w:rPr>
        <w:t xml:space="preserve">dílčího </w:t>
      </w:r>
      <w:r w:rsidRPr="00C012CC">
        <w:rPr>
          <w:rFonts w:cstheme="minorHAnsi"/>
          <w:b/>
          <w:lang w:eastAsia="ar-SA"/>
        </w:rPr>
        <w:t>kritéria</w:t>
      </w:r>
      <w:r w:rsidRPr="00D369FB">
        <w:rPr>
          <w:rFonts w:cstheme="minorHAnsi"/>
          <w:lang w:eastAsia="ar-SA"/>
        </w:rPr>
        <w:t xml:space="preserve">. </w:t>
      </w:r>
      <w:r>
        <w:rPr>
          <w:rFonts w:cstheme="minorHAnsi"/>
          <w:lang w:eastAsia="ar-SA"/>
        </w:rPr>
        <w:t xml:space="preserve">Výsledný počet bodů je dán součtem bodů </w:t>
      </w:r>
      <w:r w:rsidR="00D813BA">
        <w:rPr>
          <w:rFonts w:cstheme="minorHAnsi"/>
          <w:lang w:eastAsia="ar-SA"/>
        </w:rPr>
        <w:t xml:space="preserve">získaných v hodnocení dle </w:t>
      </w:r>
      <w:r>
        <w:rPr>
          <w:rFonts w:cstheme="minorHAnsi"/>
          <w:lang w:eastAsia="ar-SA"/>
        </w:rPr>
        <w:t xml:space="preserve">všech </w:t>
      </w:r>
      <w:r w:rsidR="00D813BA">
        <w:rPr>
          <w:rFonts w:cstheme="minorHAnsi"/>
          <w:lang w:eastAsia="ar-SA"/>
        </w:rPr>
        <w:t xml:space="preserve">dílčích </w:t>
      </w:r>
      <w:r>
        <w:rPr>
          <w:rFonts w:cstheme="minorHAnsi"/>
          <w:lang w:eastAsia="ar-SA"/>
        </w:rPr>
        <w:t>kritérií.</w:t>
      </w:r>
    </w:p>
    <w:p w:rsidR="007F303A" w:rsidRPr="00BD7ED1" w:rsidRDefault="007F303A" w:rsidP="007F303A">
      <w:pPr>
        <w:suppressAutoHyphens/>
        <w:rPr>
          <w:rFonts w:cstheme="minorHAnsi"/>
          <w:color w:val="365F91" w:themeColor="accent1" w:themeShade="BF"/>
          <w:lang w:eastAsia="ar-SA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  <w:color w:val="365F91" w:themeColor="accent1" w:themeShade="BF"/>
              <w:lang w:eastAsia="ar-SA"/>
            </w:rPr>
            <m:t>Výsledný počet bodů =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>i=0</m:t>
              </m:r>
            </m:sub>
            <m:sup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 xml:space="preserve">(Bodová hodnota </m:t>
              </m:r>
              <m: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>i-tého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 xml:space="preserve"> kritéria*Váha </m:t>
              </m:r>
              <m: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>i-tého</m:t>
              </m:r>
              <m:r>
                <m:rPr>
                  <m:sty m:val="p"/>
                </m:rPr>
                <w:rPr>
                  <w:rFonts w:ascii="Cambria Math" w:hAnsi="Cambria Math" w:cstheme="minorHAnsi"/>
                  <w:color w:val="365F91" w:themeColor="accent1" w:themeShade="BF"/>
                  <w:lang w:eastAsia="ar-SA"/>
                </w:rPr>
                <m:t xml:space="preserve"> kritéria )</m:t>
              </m:r>
            </m:e>
          </m:nary>
          <m:r>
            <m:rPr>
              <m:sty m:val="p"/>
            </m:rPr>
            <w:rPr>
              <w:rFonts w:ascii="Cambria Math" w:hAnsi="Cambria Math" w:cstheme="minorHAnsi"/>
              <w:color w:val="365F91" w:themeColor="accent1" w:themeShade="BF"/>
              <w:lang w:eastAsia="ar-SA"/>
            </w:rPr>
            <m:t xml:space="preserve"> </m:t>
          </m:r>
        </m:oMath>
      </m:oMathPara>
    </w:p>
    <w:p w:rsidR="00D369FB" w:rsidRPr="003B31E8" w:rsidRDefault="00D369FB" w:rsidP="00C012CC">
      <w:pPr>
        <w:suppressAutoHyphens/>
        <w:spacing w:before="360"/>
        <w:rPr>
          <w:rFonts w:cstheme="minorHAnsi"/>
          <w:lang w:eastAsia="ar-SA"/>
        </w:rPr>
      </w:pPr>
      <w:r w:rsidRPr="003B31E8">
        <w:rPr>
          <w:rFonts w:cstheme="minorHAnsi"/>
          <w:lang w:eastAsia="ar-SA"/>
        </w:rPr>
        <w:t xml:space="preserve">Na základě výsledných hodnot u jednotlivých nabídek </w:t>
      </w:r>
      <w:r w:rsidR="00587D74">
        <w:rPr>
          <w:rFonts w:cstheme="minorHAnsi"/>
          <w:lang w:eastAsia="ar-SA"/>
        </w:rPr>
        <w:t>zadavatel</w:t>
      </w:r>
      <w:r w:rsidRPr="003B31E8">
        <w:rPr>
          <w:rFonts w:cstheme="minorHAnsi"/>
          <w:lang w:eastAsia="ar-SA"/>
        </w:rPr>
        <w:t xml:space="preserve"> stanoví pořadí úspěšnosti jednotlivých nabídek tak, že jako nejúspěšnější je stanovena nabídka, která dosáhla nejvyšší bodové hodnoty. </w:t>
      </w:r>
    </w:p>
    <w:p w:rsidR="00221D93" w:rsidRPr="003B31E8" w:rsidRDefault="00221D93" w:rsidP="00221D93">
      <w:pPr>
        <w:suppressAutoHyphens/>
        <w:rPr>
          <w:rFonts w:cstheme="minorHAnsi"/>
          <w:lang w:eastAsia="ar-SA"/>
        </w:rPr>
      </w:pPr>
      <w:r w:rsidRPr="003B31E8">
        <w:rPr>
          <w:rFonts w:cstheme="minorHAnsi"/>
          <w:lang w:eastAsia="ar-SA"/>
        </w:rPr>
        <w:t xml:space="preserve">Výši nabídkových cen posoudí </w:t>
      </w:r>
      <w:r w:rsidR="00587D74">
        <w:rPr>
          <w:rFonts w:cstheme="minorHAnsi"/>
          <w:lang w:eastAsia="ar-SA"/>
        </w:rPr>
        <w:t>zadavatel (hodnotící komise)</w:t>
      </w:r>
      <w:r w:rsidRPr="003B31E8">
        <w:rPr>
          <w:rFonts w:cstheme="minorHAnsi"/>
          <w:lang w:eastAsia="ar-SA"/>
        </w:rPr>
        <w:t xml:space="preserve"> též ve vztahu k předmětu veřejné zakázky. Jestliže nabídka obsahuje mimořádně nízkou nabídkovou cenu ve vztahu k předmětu veřejné zakázky, musí si </w:t>
      </w:r>
      <w:r w:rsidR="00587D74">
        <w:rPr>
          <w:rFonts w:cstheme="minorHAnsi"/>
          <w:lang w:eastAsia="ar-SA"/>
        </w:rPr>
        <w:t>zadavatel (hodnotící komise)</w:t>
      </w:r>
      <w:r w:rsidRPr="003B31E8">
        <w:rPr>
          <w:rFonts w:cstheme="minorHAnsi"/>
          <w:lang w:eastAsia="ar-SA"/>
        </w:rPr>
        <w:t xml:space="preserve"> vyžádat od uchazeče písemné zdůvodnění těch částí nabídky, které jsou pro výši nabídkové ceny podstatné. </w:t>
      </w:r>
      <w:r w:rsidR="00587D74">
        <w:rPr>
          <w:rFonts w:cstheme="minorHAnsi"/>
          <w:lang w:eastAsia="ar-SA"/>
        </w:rPr>
        <w:t xml:space="preserve">Zadavatel </w:t>
      </w:r>
      <w:r w:rsidRPr="003B31E8">
        <w:rPr>
          <w:rFonts w:cstheme="minorHAnsi"/>
          <w:lang w:eastAsia="ar-SA"/>
        </w:rPr>
        <w:t>může po písemném zdůvodnění mimořádně nízké nabídkové ceny přizvat uchazeče na jednání za účelem vysvětlení předloženého zdůvodnění.</w:t>
      </w:r>
    </w:p>
    <w:p w:rsidR="00221D93" w:rsidRPr="003B31E8" w:rsidRDefault="00587D74" w:rsidP="00221D93">
      <w:pPr>
        <w:suppressAutoHyphens/>
        <w:rPr>
          <w:rFonts w:cstheme="minorHAnsi"/>
          <w:lang w:eastAsia="ar-SA"/>
        </w:rPr>
      </w:pPr>
      <w:r>
        <w:rPr>
          <w:rFonts w:cstheme="minorHAnsi"/>
          <w:lang w:eastAsia="ar-SA"/>
        </w:rPr>
        <w:t>Zadavatel</w:t>
      </w:r>
      <w:r w:rsidR="00221D93" w:rsidRPr="003B31E8">
        <w:rPr>
          <w:rFonts w:cstheme="minorHAnsi"/>
          <w:lang w:eastAsia="ar-SA"/>
        </w:rPr>
        <w:t xml:space="preserve"> může v případě nejasností požádat uchazeče o písemné vysvětlení nabídky. </w:t>
      </w:r>
      <w:r>
        <w:rPr>
          <w:rFonts w:cstheme="minorHAnsi"/>
          <w:lang w:eastAsia="ar-SA"/>
        </w:rPr>
        <w:t>Zadavatel</w:t>
      </w:r>
      <w:r w:rsidR="00221D93" w:rsidRPr="003B31E8">
        <w:rPr>
          <w:rFonts w:cstheme="minorHAnsi"/>
          <w:lang w:eastAsia="ar-SA"/>
        </w:rPr>
        <w:t xml:space="preserve"> může po písemném zdůvodnění nejasností nabídky přizvat uchazeče na jednání hodnotící komise za účelem vysvětlení jeho nabídky.</w:t>
      </w:r>
    </w:p>
    <w:p w:rsidR="00221D93" w:rsidRPr="003B31E8" w:rsidRDefault="00221D93" w:rsidP="00221D93">
      <w:pPr>
        <w:suppressAutoHyphens/>
        <w:rPr>
          <w:rFonts w:cstheme="minorHAnsi"/>
          <w:lang w:eastAsia="ar-SA"/>
        </w:rPr>
      </w:pPr>
      <w:r w:rsidRPr="003B31E8">
        <w:rPr>
          <w:rFonts w:cstheme="minorHAnsi"/>
          <w:lang w:eastAsia="ar-SA"/>
        </w:rPr>
        <w:t>Zadavatel si vyhrazuje právo neakceptovat nabídnuté údaje, parametry a informace k hodnotícím kritériím, pokud nebudou dostatečně v nabídce podložena a smluvně zajištěna, a</w:t>
      </w:r>
      <w:r w:rsidR="00D82526">
        <w:rPr>
          <w:rFonts w:cstheme="minorHAnsi"/>
          <w:lang w:eastAsia="ar-SA"/>
        </w:rPr>
        <w:t>/</w:t>
      </w:r>
      <w:r w:rsidRPr="003B31E8">
        <w:rPr>
          <w:rFonts w:cstheme="minorHAnsi"/>
          <w:lang w:eastAsia="ar-SA"/>
        </w:rPr>
        <w:t>nebo které odporují dobrým mravům.</w:t>
      </w:r>
    </w:p>
    <w:p w:rsidR="00221D93" w:rsidRPr="003B31E8" w:rsidRDefault="00587D74" w:rsidP="00221D93">
      <w:pPr>
        <w:suppressAutoHyphens/>
        <w:rPr>
          <w:rFonts w:cstheme="minorHAnsi"/>
          <w:lang w:eastAsia="ar-SA"/>
        </w:rPr>
      </w:pPr>
      <w:r>
        <w:rPr>
          <w:rFonts w:cstheme="minorHAnsi"/>
          <w:lang w:eastAsia="ar-SA"/>
        </w:rPr>
        <w:t xml:space="preserve">Zadavatel (hodnotící komise) </w:t>
      </w:r>
      <w:r w:rsidR="00221D93" w:rsidRPr="003B31E8">
        <w:rPr>
          <w:rFonts w:cstheme="minorHAnsi"/>
          <w:lang w:eastAsia="ar-SA"/>
        </w:rPr>
        <w:t>neprovede hodnocení nabídek, pokud by měla hodnotit nabídku pouze jednoho uchazeče.</w:t>
      </w:r>
    </w:p>
    <w:p w:rsidR="00221D93" w:rsidRDefault="00221D93" w:rsidP="00221D93">
      <w:pPr>
        <w:suppressAutoHyphens/>
        <w:rPr>
          <w:rFonts w:cstheme="minorHAnsi"/>
          <w:lang w:eastAsia="ar-SA"/>
        </w:rPr>
      </w:pPr>
      <w:r w:rsidRPr="003B31E8">
        <w:rPr>
          <w:rFonts w:cstheme="minorHAnsi"/>
          <w:lang w:eastAsia="ar-SA"/>
        </w:rPr>
        <w:t>Vztahy neupravené zadávací dokumentací, se v případě nejasností, řídí ustanoveními zákona o veřejných zakázkách č. 13</w:t>
      </w:r>
      <w:r w:rsidR="00587D74">
        <w:rPr>
          <w:rFonts w:cstheme="minorHAnsi"/>
          <w:lang w:eastAsia="ar-SA"/>
        </w:rPr>
        <w:t>4</w:t>
      </w:r>
      <w:r w:rsidRPr="003B31E8">
        <w:rPr>
          <w:rFonts w:cstheme="minorHAnsi"/>
          <w:lang w:eastAsia="ar-SA"/>
        </w:rPr>
        <w:t>/20</w:t>
      </w:r>
      <w:r w:rsidR="00587D74">
        <w:rPr>
          <w:rFonts w:cstheme="minorHAnsi"/>
          <w:lang w:eastAsia="ar-SA"/>
        </w:rPr>
        <w:t>1</w:t>
      </w:r>
      <w:r w:rsidRPr="003B31E8">
        <w:rPr>
          <w:rFonts w:cstheme="minorHAnsi"/>
          <w:lang w:eastAsia="ar-SA"/>
        </w:rPr>
        <w:t>6 Sb.</w:t>
      </w:r>
      <w:r w:rsidR="00587D74">
        <w:rPr>
          <w:rFonts w:cstheme="minorHAnsi"/>
          <w:lang w:eastAsia="ar-SA"/>
        </w:rPr>
        <w:t>,</w:t>
      </w:r>
      <w:r w:rsidRPr="003B31E8">
        <w:rPr>
          <w:rFonts w:cstheme="minorHAnsi"/>
          <w:lang w:eastAsia="ar-SA"/>
        </w:rPr>
        <w:t xml:space="preserve"> v platném znění.</w:t>
      </w:r>
    </w:p>
    <w:p w:rsidR="00587D74" w:rsidRPr="00C16D36" w:rsidRDefault="00587D74" w:rsidP="00587D74">
      <w:pPr>
        <w:pStyle w:val="Nadpis1"/>
      </w:pPr>
      <w:r>
        <w:lastRenderedPageBreak/>
        <w:t>Ostatní požadavky</w:t>
      </w:r>
    </w:p>
    <w:p w:rsidR="00587D74" w:rsidRPr="00B770FE" w:rsidRDefault="00587D74" w:rsidP="00587D74">
      <w:pPr>
        <w:pStyle w:val="Zkladntext"/>
        <w:tabs>
          <w:tab w:val="left" w:pos="5040"/>
          <w:tab w:val="left" w:leader="dot" w:pos="9000"/>
        </w:tabs>
        <w:spacing w:before="60"/>
        <w:rPr>
          <w:i/>
          <w:szCs w:val="22"/>
        </w:rPr>
      </w:pPr>
      <w:r w:rsidRPr="00B770FE">
        <w:rPr>
          <w:szCs w:val="22"/>
        </w:rPr>
        <w:t xml:space="preserve">Uchazeč v nabídce na základě předaných zadávacích podkladů </w:t>
      </w:r>
      <w:r w:rsidRPr="00B770FE">
        <w:rPr>
          <w:b/>
          <w:szCs w:val="22"/>
        </w:rPr>
        <w:t>sám navrhne soubor energeticky úsporných opatření</w:t>
      </w:r>
      <w:r w:rsidRPr="00B770FE">
        <w:rPr>
          <w:szCs w:val="22"/>
        </w:rPr>
        <w:t xml:space="preserve">, který je podle něj vhodné realizovat, a za jehož ekonomický výsledek je schopen převzít dlouhodobé </w:t>
      </w:r>
      <w:r w:rsidRPr="005B1311">
        <w:rPr>
          <w:szCs w:val="22"/>
        </w:rPr>
        <w:t xml:space="preserve">garance. </w:t>
      </w:r>
      <w:r w:rsidRPr="005B1311">
        <w:rPr>
          <w:b/>
          <w:szCs w:val="22"/>
        </w:rPr>
        <w:t>Do souboru energeticky úsporných opatření uchazeč zahrne povinná opatření vyžadovaná zadavatelem</w:t>
      </w:r>
      <w:r w:rsidRPr="005B1311">
        <w:rPr>
          <w:szCs w:val="22"/>
        </w:rPr>
        <w:t xml:space="preserve"> (</w:t>
      </w:r>
      <w:r w:rsidR="00F43D50" w:rsidRPr="005B1311">
        <w:rPr>
          <w:szCs w:val="22"/>
        </w:rPr>
        <w:t xml:space="preserve">viz </w:t>
      </w:r>
      <w:r w:rsidRPr="005B1311">
        <w:rPr>
          <w:szCs w:val="22"/>
        </w:rPr>
        <w:t xml:space="preserve">kap. </w:t>
      </w:r>
      <w:r w:rsidR="00EE2574" w:rsidRPr="005B1311">
        <w:rPr>
          <w:szCs w:val="22"/>
        </w:rPr>
        <w:t>7.4.2</w:t>
      </w:r>
      <w:r w:rsidRPr="005B1311">
        <w:rPr>
          <w:szCs w:val="22"/>
        </w:rPr>
        <w:t xml:space="preserve"> </w:t>
      </w:r>
      <w:r w:rsidR="00EE2574" w:rsidRPr="005B1311">
        <w:rPr>
          <w:szCs w:val="22"/>
        </w:rPr>
        <w:t>Zadávacích podmínek</w:t>
      </w:r>
      <w:r w:rsidRPr="005B1311">
        <w:rPr>
          <w:szCs w:val="22"/>
        </w:rPr>
        <w:t>). Přehled</w:t>
      </w:r>
      <w:r w:rsidRPr="00B770FE">
        <w:rPr>
          <w:szCs w:val="22"/>
        </w:rPr>
        <w:t xml:space="preserve"> navržených opatření bude dále doplněn jejich bližším popisem, technickými daty a zdůvodněním jejich zapojení do projektu EPC.</w:t>
      </w:r>
    </w:p>
    <w:p w:rsidR="00587D74" w:rsidRPr="005B1311" w:rsidRDefault="00587D74" w:rsidP="00587D74">
      <w:pPr>
        <w:pStyle w:val="Zkladntext"/>
        <w:tabs>
          <w:tab w:val="left" w:pos="5040"/>
          <w:tab w:val="left" w:leader="dot" w:pos="9000"/>
        </w:tabs>
        <w:spacing w:before="60"/>
        <w:rPr>
          <w:szCs w:val="22"/>
        </w:rPr>
      </w:pPr>
      <w:r w:rsidRPr="00B770FE">
        <w:rPr>
          <w:b/>
          <w:szCs w:val="22"/>
        </w:rPr>
        <w:t>Uchazeč navrhne dobu účinnosti smlouvy</w:t>
      </w:r>
      <w:r w:rsidRPr="00B770FE">
        <w:rPr>
          <w:szCs w:val="22"/>
        </w:rPr>
        <w:t xml:space="preserve">, resp. dobu splácení realizovaných energeticky úsporných opatření. Zadavatel omezuje dobu trvání smluvního vztahu </w:t>
      </w:r>
      <w:r w:rsidRPr="005B1311">
        <w:rPr>
          <w:szCs w:val="22"/>
        </w:rPr>
        <w:t xml:space="preserve">maximálně </w:t>
      </w:r>
      <w:r w:rsidRPr="005B1311">
        <w:rPr>
          <w:b/>
          <w:szCs w:val="22"/>
        </w:rPr>
        <w:t>na 1</w:t>
      </w:r>
      <w:r w:rsidR="00F43D50" w:rsidRPr="005B1311">
        <w:rPr>
          <w:b/>
          <w:szCs w:val="22"/>
        </w:rPr>
        <w:t>2</w:t>
      </w:r>
      <w:r w:rsidRPr="005B1311">
        <w:rPr>
          <w:b/>
          <w:szCs w:val="22"/>
        </w:rPr>
        <w:t xml:space="preserve"> let od počátku fáze vyhodnocování úspor (III. etapa projektu)</w:t>
      </w:r>
      <w:r w:rsidRPr="005B1311">
        <w:rPr>
          <w:szCs w:val="22"/>
        </w:rPr>
        <w:t>.</w:t>
      </w:r>
    </w:p>
    <w:p w:rsidR="001A41DF" w:rsidRPr="005B1311" w:rsidRDefault="00587D74" w:rsidP="00F43D50">
      <w:pPr>
        <w:spacing w:line="276" w:lineRule="auto"/>
        <w:rPr>
          <w:szCs w:val="22"/>
        </w:rPr>
      </w:pPr>
      <w:r w:rsidRPr="005B1311">
        <w:rPr>
          <w:szCs w:val="22"/>
        </w:rPr>
        <w:t xml:space="preserve">Uchazeč v nabídce a návrhu smlouvy předloží způsob vyrovnání se zadavatelem (Příloha č. </w:t>
      </w:r>
      <w:r w:rsidR="00EE2574" w:rsidRPr="005B1311">
        <w:rPr>
          <w:szCs w:val="22"/>
        </w:rPr>
        <w:t>5</w:t>
      </w:r>
      <w:r w:rsidR="00F43D50" w:rsidRPr="005B1311">
        <w:rPr>
          <w:szCs w:val="22"/>
        </w:rPr>
        <w:t xml:space="preserve"> Smlouvy</w:t>
      </w:r>
      <w:r w:rsidRPr="005B1311">
        <w:rPr>
          <w:szCs w:val="22"/>
        </w:rPr>
        <w:t xml:space="preserve">) </w:t>
      </w:r>
      <w:r w:rsidRPr="005B1311">
        <w:rPr>
          <w:b/>
          <w:szCs w:val="22"/>
        </w:rPr>
        <w:t>v případě, že dosažená úspora v jednotlivých letech bude vyšší než garantovaná</w:t>
      </w:r>
      <w:r w:rsidR="001A41DF" w:rsidRPr="005B1311">
        <w:rPr>
          <w:b/>
          <w:szCs w:val="22"/>
        </w:rPr>
        <w:t xml:space="preserve"> (dále také nadúspora)</w:t>
      </w:r>
      <w:r w:rsidRPr="005B1311">
        <w:rPr>
          <w:szCs w:val="22"/>
        </w:rPr>
        <w:t xml:space="preserve">. </w:t>
      </w:r>
    </w:p>
    <w:p w:rsidR="000A0C7D" w:rsidRDefault="00587D74" w:rsidP="00F43D50">
      <w:pPr>
        <w:spacing w:line="276" w:lineRule="auto"/>
      </w:pPr>
      <w:r w:rsidRPr="005B1311">
        <w:rPr>
          <w:b/>
          <w:szCs w:val="22"/>
        </w:rPr>
        <w:t xml:space="preserve">Zadavatel </w:t>
      </w:r>
      <w:r w:rsidR="00F43D50" w:rsidRPr="005B1311">
        <w:rPr>
          <w:b/>
          <w:szCs w:val="22"/>
        </w:rPr>
        <w:t>požaduje poměr</w:t>
      </w:r>
      <w:r w:rsidRPr="005B1311">
        <w:rPr>
          <w:b/>
          <w:szCs w:val="22"/>
        </w:rPr>
        <w:t xml:space="preserve"> </w:t>
      </w:r>
      <w:r w:rsidR="00F43D50" w:rsidRPr="005B1311">
        <w:rPr>
          <w:b/>
          <w:szCs w:val="22"/>
        </w:rPr>
        <w:t>6</w:t>
      </w:r>
      <w:r w:rsidRPr="005B1311">
        <w:rPr>
          <w:b/>
          <w:szCs w:val="22"/>
        </w:rPr>
        <w:t>0 %</w:t>
      </w:r>
      <w:r w:rsidR="00F43D50" w:rsidRPr="005B1311">
        <w:rPr>
          <w:b/>
          <w:szCs w:val="22"/>
        </w:rPr>
        <w:t xml:space="preserve"> : 40 %</w:t>
      </w:r>
      <w:r w:rsidRPr="005B1311">
        <w:rPr>
          <w:b/>
          <w:szCs w:val="22"/>
        </w:rPr>
        <w:t xml:space="preserve"> </w:t>
      </w:r>
      <w:r w:rsidR="001A41DF" w:rsidRPr="005B1311">
        <w:rPr>
          <w:b/>
          <w:szCs w:val="22"/>
        </w:rPr>
        <w:t xml:space="preserve">dosažené nadúspory </w:t>
      </w:r>
      <w:r w:rsidRPr="005B1311">
        <w:rPr>
          <w:b/>
          <w:szCs w:val="22"/>
        </w:rPr>
        <w:t>v jeho prospěch</w:t>
      </w:r>
      <w:r w:rsidRPr="005B1311">
        <w:rPr>
          <w:szCs w:val="22"/>
        </w:rPr>
        <w:t>.</w:t>
      </w:r>
    </w:p>
    <w:p w:rsidR="00D813BA" w:rsidRDefault="00D813BA" w:rsidP="000A0C7D">
      <w:pPr>
        <w:pStyle w:val="Odstavecseseznamem"/>
        <w:spacing w:line="276" w:lineRule="auto"/>
      </w:pPr>
    </w:p>
    <w:p w:rsidR="00D813BA" w:rsidRDefault="00D813BA" w:rsidP="000A0C7D">
      <w:pPr>
        <w:pStyle w:val="Odstavecseseznamem"/>
        <w:spacing w:line="276" w:lineRule="auto"/>
      </w:pPr>
    </w:p>
    <w:p w:rsidR="00D813BA" w:rsidRDefault="00D813BA" w:rsidP="000A0C7D">
      <w:pPr>
        <w:pStyle w:val="Odstavecseseznamem"/>
        <w:spacing w:line="276" w:lineRule="auto"/>
      </w:pPr>
    </w:p>
    <w:p w:rsidR="00D813BA" w:rsidRDefault="00D813BA" w:rsidP="000A0C7D">
      <w:pPr>
        <w:pStyle w:val="Odstavecseseznamem"/>
        <w:spacing w:line="276" w:lineRule="auto"/>
      </w:pPr>
    </w:p>
    <w:p w:rsidR="00D813BA" w:rsidRDefault="00D813BA" w:rsidP="000A0C7D">
      <w:pPr>
        <w:pStyle w:val="Odstavecseseznamem"/>
        <w:spacing w:line="276" w:lineRule="auto"/>
      </w:pPr>
    </w:p>
    <w:p w:rsidR="00D813BA" w:rsidRDefault="00D813BA" w:rsidP="000A0C7D">
      <w:pPr>
        <w:pStyle w:val="Odstavecseseznamem"/>
        <w:spacing w:line="276" w:lineRule="auto"/>
      </w:pPr>
    </w:p>
    <w:p w:rsidR="000A0C7D" w:rsidRPr="00FE01B1" w:rsidRDefault="000A0C7D" w:rsidP="00EA63DE">
      <w:pPr>
        <w:jc w:val="right"/>
      </w:pPr>
    </w:p>
    <w:sectPr w:rsidR="000A0C7D" w:rsidRPr="00FE01B1" w:rsidSect="00EB2D2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47" w:bottom="993" w:left="1247" w:header="39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10" w:rsidRDefault="00F10A10">
      <w:r>
        <w:separator/>
      </w:r>
    </w:p>
  </w:endnote>
  <w:endnote w:type="continuationSeparator" w:id="0">
    <w:p w:rsidR="00F10A10" w:rsidRDefault="00F1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DC" w:rsidRDefault="00A313CA" w:rsidP="000910F2">
    <w:pPr>
      <w:framePr w:wrap="around" w:vAnchor="text" w:hAnchor="margin" w:xAlign="inside" w:y="1"/>
    </w:pPr>
    <w:r>
      <w:fldChar w:fldCharType="begin"/>
    </w:r>
    <w:r w:rsidR="005172DC">
      <w:instrText xml:space="preserve">PAGE  </w:instrText>
    </w:r>
    <w:r>
      <w:fldChar w:fldCharType="end"/>
    </w:r>
  </w:p>
  <w:p w:rsidR="005172DC" w:rsidRDefault="005172DC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4928466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172DC" w:rsidRPr="00805399" w:rsidRDefault="00A44D97" w:rsidP="00805399">
            <w:pPr>
              <w:pStyle w:val="Zpat"/>
              <w:jc w:val="right"/>
              <w:rPr>
                <w:szCs w:val="22"/>
              </w:rPr>
            </w:pPr>
            <w:r w:rsidRPr="00805399">
              <w:rPr>
                <w:szCs w:val="22"/>
              </w:rPr>
              <w:t xml:space="preserve">Stránka </w:t>
            </w:r>
            <w:r w:rsidRPr="00805399">
              <w:rPr>
                <w:bCs/>
                <w:szCs w:val="22"/>
              </w:rPr>
              <w:fldChar w:fldCharType="begin"/>
            </w:r>
            <w:r w:rsidRPr="00805399">
              <w:rPr>
                <w:bCs/>
                <w:szCs w:val="22"/>
              </w:rPr>
              <w:instrText>PAGE</w:instrText>
            </w:r>
            <w:r w:rsidRPr="00805399">
              <w:rPr>
                <w:bCs/>
                <w:szCs w:val="22"/>
              </w:rPr>
              <w:fldChar w:fldCharType="separate"/>
            </w:r>
            <w:r w:rsidR="00BA2726">
              <w:rPr>
                <w:bCs/>
                <w:noProof/>
                <w:szCs w:val="22"/>
              </w:rPr>
              <w:t>1</w:t>
            </w:r>
            <w:r w:rsidRPr="00805399">
              <w:rPr>
                <w:bCs/>
                <w:szCs w:val="22"/>
              </w:rPr>
              <w:fldChar w:fldCharType="end"/>
            </w:r>
            <w:r w:rsidRPr="00805399">
              <w:rPr>
                <w:szCs w:val="22"/>
              </w:rPr>
              <w:t xml:space="preserve"> z </w:t>
            </w:r>
            <w:r w:rsidRPr="00805399">
              <w:rPr>
                <w:bCs/>
                <w:szCs w:val="22"/>
              </w:rPr>
              <w:fldChar w:fldCharType="begin"/>
            </w:r>
            <w:r w:rsidRPr="00805399">
              <w:rPr>
                <w:bCs/>
                <w:szCs w:val="22"/>
              </w:rPr>
              <w:instrText>NUMPAGES</w:instrText>
            </w:r>
            <w:r w:rsidRPr="00805399">
              <w:rPr>
                <w:bCs/>
                <w:szCs w:val="22"/>
              </w:rPr>
              <w:fldChar w:fldCharType="separate"/>
            </w:r>
            <w:r w:rsidR="00BA2726">
              <w:rPr>
                <w:bCs/>
                <w:noProof/>
                <w:szCs w:val="22"/>
              </w:rPr>
              <w:t>4</w:t>
            </w:r>
            <w:r w:rsidRPr="00805399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DC" w:rsidRDefault="005172DC">
    <w:pPr>
      <w:pStyle w:val="Zpat"/>
      <w:jc w:val="center"/>
    </w:pPr>
  </w:p>
  <w:sdt>
    <w:sdtPr>
      <w:id w:val="1968005912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-473757230"/>
          <w:docPartObj>
            <w:docPartGallery w:val="Page Numbers (Top of Page)"/>
            <w:docPartUnique/>
          </w:docPartObj>
        </w:sdtPr>
        <w:sdtEndPr/>
        <w:sdtContent>
          <w:p w:rsidR="005172DC" w:rsidRPr="00805399" w:rsidRDefault="00A44D97" w:rsidP="00805399">
            <w:pPr>
              <w:pStyle w:val="Zpat"/>
              <w:jc w:val="right"/>
              <w:rPr>
                <w:szCs w:val="22"/>
              </w:rPr>
            </w:pPr>
            <w:r w:rsidRPr="00A579A2">
              <w:rPr>
                <w:szCs w:val="22"/>
              </w:rPr>
              <w:t xml:space="preserve">Stránka </w:t>
            </w:r>
            <w:r w:rsidRPr="00A579A2">
              <w:rPr>
                <w:bCs/>
                <w:szCs w:val="22"/>
              </w:rPr>
              <w:fldChar w:fldCharType="begin"/>
            </w:r>
            <w:r w:rsidRPr="00A579A2">
              <w:rPr>
                <w:bCs/>
                <w:szCs w:val="22"/>
              </w:rPr>
              <w:instrText>PAGE</w:instrText>
            </w:r>
            <w:r w:rsidRPr="00A579A2">
              <w:rPr>
                <w:bCs/>
                <w:szCs w:val="22"/>
              </w:rPr>
              <w:fldChar w:fldCharType="separate"/>
            </w:r>
            <w:r w:rsidR="00EB2D24">
              <w:rPr>
                <w:bCs/>
                <w:noProof/>
                <w:szCs w:val="22"/>
              </w:rPr>
              <w:t>1</w:t>
            </w:r>
            <w:r w:rsidRPr="00A579A2">
              <w:rPr>
                <w:bCs/>
                <w:szCs w:val="22"/>
              </w:rPr>
              <w:fldChar w:fldCharType="end"/>
            </w:r>
            <w:r w:rsidRPr="00A579A2">
              <w:rPr>
                <w:szCs w:val="22"/>
              </w:rPr>
              <w:t xml:space="preserve"> z </w:t>
            </w:r>
            <w:r w:rsidRPr="00A579A2">
              <w:rPr>
                <w:bCs/>
                <w:szCs w:val="22"/>
              </w:rPr>
              <w:fldChar w:fldCharType="begin"/>
            </w:r>
            <w:r w:rsidRPr="00A579A2">
              <w:rPr>
                <w:bCs/>
                <w:szCs w:val="22"/>
              </w:rPr>
              <w:instrText>NUMPAGES</w:instrText>
            </w:r>
            <w:r w:rsidRPr="00A579A2">
              <w:rPr>
                <w:bCs/>
                <w:szCs w:val="22"/>
              </w:rPr>
              <w:fldChar w:fldCharType="separate"/>
            </w:r>
            <w:r w:rsidR="008D4642">
              <w:rPr>
                <w:bCs/>
                <w:noProof/>
                <w:szCs w:val="22"/>
              </w:rPr>
              <w:t>4</w:t>
            </w:r>
            <w:r w:rsidRPr="00A579A2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10" w:rsidRDefault="00F10A10">
      <w:r>
        <w:separator/>
      </w:r>
    </w:p>
  </w:footnote>
  <w:footnote w:type="continuationSeparator" w:id="0">
    <w:p w:rsidR="00F10A10" w:rsidRDefault="00F10A10">
      <w:r>
        <w:continuationSeparator/>
      </w:r>
    </w:p>
  </w:footnote>
  <w:footnote w:id="1">
    <w:p w:rsidR="00CE0719" w:rsidRDefault="00CE0719" w:rsidP="00CE071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96B58">
        <w:t>„IPMVP“ (International Performance Measurement and Verification Protocol</w:t>
      </w:r>
      <w:r w:rsidRPr="00CC64D4">
        <w:rPr>
          <w:b/>
        </w:rPr>
        <w:t>)</w:t>
      </w:r>
      <w:r w:rsidRPr="00CC64D4">
        <w:t xml:space="preserve"> znamená </w:t>
      </w:r>
      <w:r w:rsidRPr="00CC64D4">
        <w:rPr>
          <w:rFonts w:cs="Arial"/>
          <w:bCs/>
          <w:szCs w:val="22"/>
        </w:rPr>
        <w:t>Mezinárodní protokol o m</w:t>
      </w:r>
      <w:r w:rsidRPr="00CC64D4">
        <w:rPr>
          <w:rFonts w:ascii="Arial,Bold" w:hAnsi="Arial,Bold" w:cs="Arial,Bold"/>
          <w:bCs/>
          <w:szCs w:val="22"/>
        </w:rPr>
        <w:t>ěř</w:t>
      </w:r>
      <w:r w:rsidRPr="00CC64D4">
        <w:rPr>
          <w:rFonts w:cs="Arial"/>
          <w:bCs/>
          <w:szCs w:val="22"/>
        </w:rPr>
        <w:t>ení a verifikaci, vyhodnocování dosažených úspor</w:t>
      </w:r>
      <w:r>
        <w:rPr>
          <w:rFonts w:cs="Arial"/>
          <w:bCs/>
          <w:szCs w:val="22"/>
        </w:rPr>
        <w:t>. Definice je uvedena v Článku 2 Smlouvy o energetických službách se zaručeným výsledkem.</w:t>
      </w:r>
      <w:r w:rsidR="00D6229C" w:rsidRPr="00D6229C">
        <w:t xml:space="preserve"> </w:t>
      </w:r>
      <w:r w:rsidR="00D6229C">
        <w:rPr>
          <w:rFonts w:cs="Arial"/>
          <w:bCs/>
          <w:szCs w:val="22"/>
        </w:rPr>
        <w:t>Varianta C (</w:t>
      </w:r>
      <w:r w:rsidR="00D6229C" w:rsidRPr="00D6229C">
        <w:rPr>
          <w:rFonts w:cs="Arial"/>
          <w:bCs/>
          <w:szCs w:val="22"/>
        </w:rPr>
        <w:t>celý objekt</w:t>
      </w:r>
      <w:r w:rsidR="00D6229C">
        <w:rPr>
          <w:rFonts w:cs="Arial"/>
          <w:bCs/>
          <w:szCs w:val="22"/>
        </w:rPr>
        <w:t>)</w:t>
      </w:r>
      <w:r w:rsidR="00D6229C" w:rsidRPr="00D6229C">
        <w:rPr>
          <w:rFonts w:cs="Arial"/>
          <w:bCs/>
          <w:szCs w:val="22"/>
        </w:rPr>
        <w:t xml:space="preserve"> zahrnuje použití měřidel spotřeby energie, měřidla pro spotřebu celého objektu nebo podružná měřidla pro hodnocení energetické náročnosti celého objektu</w:t>
      </w:r>
      <w:r w:rsidR="00D6229C">
        <w:rPr>
          <w:rFonts w:cs="Arial"/>
          <w:bCs/>
          <w:szCs w:val="22"/>
        </w:rPr>
        <w:t>/soustavy</w:t>
      </w:r>
      <w:r w:rsidR="00D6229C" w:rsidRPr="00D6229C">
        <w:rPr>
          <w:rFonts w:cs="Arial"/>
          <w:bCs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618" w:rsidRDefault="00EB2D24" w:rsidP="00EB2D24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</w:t>
    </w:r>
    <w:r w:rsidRPr="00BF0AFF">
      <w:rPr>
        <w:rFonts w:cs="Verdana"/>
        <w:bCs/>
        <w:iCs/>
        <w:sz w:val="20"/>
      </w:rPr>
      <w:t xml:space="preserve">města </w:t>
    </w:r>
    <w:r w:rsidR="00194618">
      <w:rPr>
        <w:rFonts w:cs="Verdana"/>
        <w:bCs/>
        <w:iCs/>
        <w:sz w:val="20"/>
      </w:rPr>
      <w:t>Vrchlabí</w:t>
    </w:r>
  </w:p>
  <w:p w:rsidR="00EB2D24" w:rsidRPr="00EB2D24" w:rsidRDefault="00EB2D24" w:rsidP="00EB2D24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r>
      <w:rPr>
        <w:rFonts w:cs="Verdana"/>
        <w:bCs/>
        <w:iCs/>
        <w:sz w:val="20"/>
      </w:rPr>
      <w:t>ZPŮSOB HODNOCENÍ NABÍDEK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D24" w:rsidRDefault="00EB2D24" w:rsidP="00EB2D24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  <w:p w:rsidR="00EB2D24" w:rsidRDefault="00EB2D24" w:rsidP="00EB2D24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r>
      <w:rPr>
        <w:rFonts w:cs="Verdana"/>
        <w:bCs/>
        <w:iCs/>
        <w:sz w:val="20"/>
      </w:rPr>
      <w:t>ZPŮSOB HODNOCENÍ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443"/>
      </v:shape>
    </w:pict>
  </w:numPicBullet>
  <w:abstractNum w:abstractNumId="0" w15:restartNumberingAfterBreak="0">
    <w:nsid w:val="00000002"/>
    <w:multiLevelType w:val="singleLevel"/>
    <w:tmpl w:val="5866BBD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336699"/>
      </w:rPr>
    </w:lvl>
  </w:abstractNum>
  <w:abstractNum w:abstractNumId="1" w15:restartNumberingAfterBreak="0">
    <w:nsid w:val="00000008"/>
    <w:multiLevelType w:val="singleLevel"/>
    <w:tmpl w:val="B1B6374E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336699"/>
      </w:rPr>
    </w:lvl>
  </w:abstractNum>
  <w:abstractNum w:abstractNumId="2" w15:restartNumberingAfterBreak="0">
    <w:nsid w:val="04BC4A15"/>
    <w:multiLevelType w:val="multilevel"/>
    <w:tmpl w:val="F4E8FEB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4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C2F85"/>
    <w:multiLevelType w:val="hybridMultilevel"/>
    <w:tmpl w:val="65945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C0EC9"/>
    <w:multiLevelType w:val="hybridMultilevel"/>
    <w:tmpl w:val="B8E23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85013"/>
    <w:multiLevelType w:val="hybridMultilevel"/>
    <w:tmpl w:val="3ECECC32"/>
    <w:lvl w:ilvl="0" w:tplc="11847C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9" w15:restartNumberingAfterBreak="0">
    <w:nsid w:val="67D072A5"/>
    <w:multiLevelType w:val="hybridMultilevel"/>
    <w:tmpl w:val="519404EA"/>
    <w:lvl w:ilvl="0" w:tplc="11847C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6D2B6488"/>
    <w:multiLevelType w:val="hybridMultilevel"/>
    <w:tmpl w:val="519404EA"/>
    <w:lvl w:ilvl="0" w:tplc="11847C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D3B3C8D"/>
    <w:multiLevelType w:val="hybridMultilevel"/>
    <w:tmpl w:val="590C9EFA"/>
    <w:lvl w:ilvl="0" w:tplc="8EE6A8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320EC"/>
    <w:multiLevelType w:val="hybridMultilevel"/>
    <w:tmpl w:val="F4D42F96"/>
    <w:lvl w:ilvl="0" w:tplc="EB5AA0B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3B314D"/>
    <w:multiLevelType w:val="hybridMultilevel"/>
    <w:tmpl w:val="4080BCFC"/>
    <w:lvl w:ilvl="0" w:tplc="11847C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CF50E8D"/>
    <w:multiLevelType w:val="hybridMultilevel"/>
    <w:tmpl w:val="D564E2A2"/>
    <w:lvl w:ilvl="0" w:tplc="11847C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6"/>
  </w:num>
  <w:num w:numId="14">
    <w:abstractNumId w:val="11"/>
  </w:num>
  <w:num w:numId="15">
    <w:abstractNumId w:val="7"/>
  </w:num>
  <w:num w:numId="16">
    <w:abstractNumId w:val="9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0B00"/>
    <w:rsid w:val="00004037"/>
    <w:rsid w:val="000041EB"/>
    <w:rsid w:val="000107B2"/>
    <w:rsid w:val="000168DB"/>
    <w:rsid w:val="0001721B"/>
    <w:rsid w:val="000214DC"/>
    <w:rsid w:val="000241BA"/>
    <w:rsid w:val="00030E07"/>
    <w:rsid w:val="00031758"/>
    <w:rsid w:val="00031CE6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0F6B"/>
    <w:rsid w:val="0006129C"/>
    <w:rsid w:val="000615B5"/>
    <w:rsid w:val="00063CB3"/>
    <w:rsid w:val="00064E3E"/>
    <w:rsid w:val="000655A2"/>
    <w:rsid w:val="00066C21"/>
    <w:rsid w:val="00070063"/>
    <w:rsid w:val="000736EE"/>
    <w:rsid w:val="00075255"/>
    <w:rsid w:val="000752C4"/>
    <w:rsid w:val="000802EE"/>
    <w:rsid w:val="00081248"/>
    <w:rsid w:val="000860BD"/>
    <w:rsid w:val="00086FCE"/>
    <w:rsid w:val="00087E1C"/>
    <w:rsid w:val="000910F2"/>
    <w:rsid w:val="00094955"/>
    <w:rsid w:val="0009495E"/>
    <w:rsid w:val="00095ED5"/>
    <w:rsid w:val="000A033D"/>
    <w:rsid w:val="000A0C7D"/>
    <w:rsid w:val="000A3B09"/>
    <w:rsid w:val="000A4105"/>
    <w:rsid w:val="000A445A"/>
    <w:rsid w:val="000A6644"/>
    <w:rsid w:val="000A74C3"/>
    <w:rsid w:val="000B3647"/>
    <w:rsid w:val="000B384B"/>
    <w:rsid w:val="000B3D1D"/>
    <w:rsid w:val="000B4902"/>
    <w:rsid w:val="000C0682"/>
    <w:rsid w:val="000C08DC"/>
    <w:rsid w:val="000C0FB6"/>
    <w:rsid w:val="000D0843"/>
    <w:rsid w:val="000D2AE1"/>
    <w:rsid w:val="000D39A2"/>
    <w:rsid w:val="000D5406"/>
    <w:rsid w:val="000D60A0"/>
    <w:rsid w:val="000E1272"/>
    <w:rsid w:val="000E3915"/>
    <w:rsid w:val="000E5077"/>
    <w:rsid w:val="000E6E3E"/>
    <w:rsid w:val="000F0CC3"/>
    <w:rsid w:val="000F13E6"/>
    <w:rsid w:val="000F17EE"/>
    <w:rsid w:val="000F695D"/>
    <w:rsid w:val="000F6E44"/>
    <w:rsid w:val="0010001D"/>
    <w:rsid w:val="00100F67"/>
    <w:rsid w:val="001050B3"/>
    <w:rsid w:val="00113C11"/>
    <w:rsid w:val="00121A46"/>
    <w:rsid w:val="001245E5"/>
    <w:rsid w:val="00124905"/>
    <w:rsid w:val="00124B1D"/>
    <w:rsid w:val="00125A87"/>
    <w:rsid w:val="00127126"/>
    <w:rsid w:val="00130676"/>
    <w:rsid w:val="00132B8D"/>
    <w:rsid w:val="00135B84"/>
    <w:rsid w:val="00141A2F"/>
    <w:rsid w:val="00145C2E"/>
    <w:rsid w:val="00146D3A"/>
    <w:rsid w:val="00150B8D"/>
    <w:rsid w:val="00151379"/>
    <w:rsid w:val="00151AF8"/>
    <w:rsid w:val="001525D5"/>
    <w:rsid w:val="00152E7A"/>
    <w:rsid w:val="0016223D"/>
    <w:rsid w:val="0016578D"/>
    <w:rsid w:val="001666A7"/>
    <w:rsid w:val="001708C5"/>
    <w:rsid w:val="0017244B"/>
    <w:rsid w:val="00172455"/>
    <w:rsid w:val="001724F2"/>
    <w:rsid w:val="00176EA9"/>
    <w:rsid w:val="00181E80"/>
    <w:rsid w:val="00183CE0"/>
    <w:rsid w:val="00183ED9"/>
    <w:rsid w:val="00187EFF"/>
    <w:rsid w:val="00193DD8"/>
    <w:rsid w:val="00194618"/>
    <w:rsid w:val="00194B49"/>
    <w:rsid w:val="00196E62"/>
    <w:rsid w:val="00197076"/>
    <w:rsid w:val="001A0684"/>
    <w:rsid w:val="001A33DA"/>
    <w:rsid w:val="001A41DF"/>
    <w:rsid w:val="001A4D2D"/>
    <w:rsid w:val="001A5135"/>
    <w:rsid w:val="001A5A0F"/>
    <w:rsid w:val="001A7C41"/>
    <w:rsid w:val="001B1264"/>
    <w:rsid w:val="001B12CE"/>
    <w:rsid w:val="001B65C3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1FCF"/>
    <w:rsid w:val="001F69D9"/>
    <w:rsid w:val="00201E55"/>
    <w:rsid w:val="002075EE"/>
    <w:rsid w:val="002078FF"/>
    <w:rsid w:val="00207924"/>
    <w:rsid w:val="00207BD7"/>
    <w:rsid w:val="00211A4D"/>
    <w:rsid w:val="00215A88"/>
    <w:rsid w:val="00217E75"/>
    <w:rsid w:val="00221A2F"/>
    <w:rsid w:val="00221D93"/>
    <w:rsid w:val="0022302D"/>
    <w:rsid w:val="0022401D"/>
    <w:rsid w:val="00224E1F"/>
    <w:rsid w:val="00231692"/>
    <w:rsid w:val="00233BF8"/>
    <w:rsid w:val="0023588A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86957"/>
    <w:rsid w:val="002902B7"/>
    <w:rsid w:val="00291F25"/>
    <w:rsid w:val="00294505"/>
    <w:rsid w:val="00294DDC"/>
    <w:rsid w:val="00295DCF"/>
    <w:rsid w:val="00296C2C"/>
    <w:rsid w:val="002A50CD"/>
    <w:rsid w:val="002A5183"/>
    <w:rsid w:val="002B707C"/>
    <w:rsid w:val="002C3EC2"/>
    <w:rsid w:val="002C7539"/>
    <w:rsid w:val="002C76FF"/>
    <w:rsid w:val="002D021C"/>
    <w:rsid w:val="002D030A"/>
    <w:rsid w:val="002D0F9B"/>
    <w:rsid w:val="002D45DA"/>
    <w:rsid w:val="002D49DC"/>
    <w:rsid w:val="002D4ADD"/>
    <w:rsid w:val="002D5BB4"/>
    <w:rsid w:val="002D7193"/>
    <w:rsid w:val="002E025E"/>
    <w:rsid w:val="002F299D"/>
    <w:rsid w:val="002F3104"/>
    <w:rsid w:val="002F6DB9"/>
    <w:rsid w:val="002F7C39"/>
    <w:rsid w:val="002F7EEE"/>
    <w:rsid w:val="003024E7"/>
    <w:rsid w:val="00302874"/>
    <w:rsid w:val="00303953"/>
    <w:rsid w:val="00303D7F"/>
    <w:rsid w:val="0030400E"/>
    <w:rsid w:val="00304139"/>
    <w:rsid w:val="00307F94"/>
    <w:rsid w:val="003118E7"/>
    <w:rsid w:val="0031624E"/>
    <w:rsid w:val="00317988"/>
    <w:rsid w:val="00320318"/>
    <w:rsid w:val="00321F02"/>
    <w:rsid w:val="00325A0A"/>
    <w:rsid w:val="00326CE8"/>
    <w:rsid w:val="00327035"/>
    <w:rsid w:val="0033080E"/>
    <w:rsid w:val="00336ACF"/>
    <w:rsid w:val="00336D0E"/>
    <w:rsid w:val="00340949"/>
    <w:rsid w:val="00342026"/>
    <w:rsid w:val="0034354D"/>
    <w:rsid w:val="003436A3"/>
    <w:rsid w:val="00343B4C"/>
    <w:rsid w:val="00344992"/>
    <w:rsid w:val="00345C49"/>
    <w:rsid w:val="00346F10"/>
    <w:rsid w:val="00346F8D"/>
    <w:rsid w:val="00355B8F"/>
    <w:rsid w:val="00357B22"/>
    <w:rsid w:val="003605FF"/>
    <w:rsid w:val="00361792"/>
    <w:rsid w:val="0036562B"/>
    <w:rsid w:val="0036587A"/>
    <w:rsid w:val="00366CEE"/>
    <w:rsid w:val="00371C14"/>
    <w:rsid w:val="00374622"/>
    <w:rsid w:val="0037638A"/>
    <w:rsid w:val="00376469"/>
    <w:rsid w:val="003800FC"/>
    <w:rsid w:val="00381293"/>
    <w:rsid w:val="00381C9E"/>
    <w:rsid w:val="00381CF7"/>
    <w:rsid w:val="00385434"/>
    <w:rsid w:val="00392D22"/>
    <w:rsid w:val="003951E2"/>
    <w:rsid w:val="003976AE"/>
    <w:rsid w:val="00397E06"/>
    <w:rsid w:val="003A0B2F"/>
    <w:rsid w:val="003A2046"/>
    <w:rsid w:val="003A2F69"/>
    <w:rsid w:val="003A4900"/>
    <w:rsid w:val="003A7824"/>
    <w:rsid w:val="003B0C7E"/>
    <w:rsid w:val="003B31E8"/>
    <w:rsid w:val="003B3718"/>
    <w:rsid w:val="003B3932"/>
    <w:rsid w:val="003B40F2"/>
    <w:rsid w:val="003C01FA"/>
    <w:rsid w:val="003C170D"/>
    <w:rsid w:val="003C6F1B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2B8"/>
    <w:rsid w:val="00405C52"/>
    <w:rsid w:val="004111C0"/>
    <w:rsid w:val="00411EA4"/>
    <w:rsid w:val="00415577"/>
    <w:rsid w:val="00421265"/>
    <w:rsid w:val="00422813"/>
    <w:rsid w:val="00423252"/>
    <w:rsid w:val="00423C18"/>
    <w:rsid w:val="00427464"/>
    <w:rsid w:val="004279C9"/>
    <w:rsid w:val="00431476"/>
    <w:rsid w:val="00432324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2A84"/>
    <w:rsid w:val="00463674"/>
    <w:rsid w:val="004640D6"/>
    <w:rsid w:val="00464858"/>
    <w:rsid w:val="00465447"/>
    <w:rsid w:val="00465868"/>
    <w:rsid w:val="00466683"/>
    <w:rsid w:val="004679AF"/>
    <w:rsid w:val="00474434"/>
    <w:rsid w:val="00476AC6"/>
    <w:rsid w:val="0047709C"/>
    <w:rsid w:val="00482881"/>
    <w:rsid w:val="00483B3A"/>
    <w:rsid w:val="00484D56"/>
    <w:rsid w:val="004A0EF1"/>
    <w:rsid w:val="004A78A4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1CAB"/>
    <w:rsid w:val="00503701"/>
    <w:rsid w:val="005074BB"/>
    <w:rsid w:val="00513D6D"/>
    <w:rsid w:val="00514E36"/>
    <w:rsid w:val="00515681"/>
    <w:rsid w:val="005172DC"/>
    <w:rsid w:val="00520903"/>
    <w:rsid w:val="00520D54"/>
    <w:rsid w:val="005249E1"/>
    <w:rsid w:val="005257E2"/>
    <w:rsid w:val="00526804"/>
    <w:rsid w:val="005307F7"/>
    <w:rsid w:val="00530880"/>
    <w:rsid w:val="00534059"/>
    <w:rsid w:val="00536120"/>
    <w:rsid w:val="005365BF"/>
    <w:rsid w:val="005371EC"/>
    <w:rsid w:val="005376C1"/>
    <w:rsid w:val="00541B87"/>
    <w:rsid w:val="00544985"/>
    <w:rsid w:val="00546238"/>
    <w:rsid w:val="005474F8"/>
    <w:rsid w:val="00547C29"/>
    <w:rsid w:val="00550BBB"/>
    <w:rsid w:val="00551079"/>
    <w:rsid w:val="005564F8"/>
    <w:rsid w:val="005570EE"/>
    <w:rsid w:val="00562763"/>
    <w:rsid w:val="00562F70"/>
    <w:rsid w:val="00564EE3"/>
    <w:rsid w:val="00565AC0"/>
    <w:rsid w:val="00567910"/>
    <w:rsid w:val="005713E6"/>
    <w:rsid w:val="005715E1"/>
    <w:rsid w:val="00581C8C"/>
    <w:rsid w:val="00581EBF"/>
    <w:rsid w:val="00584390"/>
    <w:rsid w:val="00584E97"/>
    <w:rsid w:val="0058550E"/>
    <w:rsid w:val="00586716"/>
    <w:rsid w:val="00587D74"/>
    <w:rsid w:val="005912F6"/>
    <w:rsid w:val="00593A7F"/>
    <w:rsid w:val="005962E7"/>
    <w:rsid w:val="0059632C"/>
    <w:rsid w:val="00597D9D"/>
    <w:rsid w:val="005A004B"/>
    <w:rsid w:val="005A05D5"/>
    <w:rsid w:val="005A2831"/>
    <w:rsid w:val="005B0F92"/>
    <w:rsid w:val="005B11D0"/>
    <w:rsid w:val="005B1311"/>
    <w:rsid w:val="005B304D"/>
    <w:rsid w:val="005B30DA"/>
    <w:rsid w:val="005B54EF"/>
    <w:rsid w:val="005B73D3"/>
    <w:rsid w:val="005C349E"/>
    <w:rsid w:val="005C7EFD"/>
    <w:rsid w:val="005D03ED"/>
    <w:rsid w:val="005D31B9"/>
    <w:rsid w:val="005E1490"/>
    <w:rsid w:val="005E5578"/>
    <w:rsid w:val="005E707E"/>
    <w:rsid w:val="005F062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0591"/>
    <w:rsid w:val="00621555"/>
    <w:rsid w:val="00622DD1"/>
    <w:rsid w:val="006232B4"/>
    <w:rsid w:val="00624BFD"/>
    <w:rsid w:val="00625E8A"/>
    <w:rsid w:val="006303A7"/>
    <w:rsid w:val="00642E62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0500"/>
    <w:rsid w:val="00681C65"/>
    <w:rsid w:val="00682743"/>
    <w:rsid w:val="00684B5F"/>
    <w:rsid w:val="006856DB"/>
    <w:rsid w:val="00687E6F"/>
    <w:rsid w:val="00690531"/>
    <w:rsid w:val="006934A6"/>
    <w:rsid w:val="00693AD5"/>
    <w:rsid w:val="006A16BF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4CC2"/>
    <w:rsid w:val="006D5EE1"/>
    <w:rsid w:val="006D71A0"/>
    <w:rsid w:val="006E2751"/>
    <w:rsid w:val="006E45DE"/>
    <w:rsid w:val="006E4A4B"/>
    <w:rsid w:val="006E6018"/>
    <w:rsid w:val="006E68F1"/>
    <w:rsid w:val="006F0FE3"/>
    <w:rsid w:val="006F1B18"/>
    <w:rsid w:val="006F6E5F"/>
    <w:rsid w:val="00700B8D"/>
    <w:rsid w:val="00700FF4"/>
    <w:rsid w:val="00702604"/>
    <w:rsid w:val="00706D8B"/>
    <w:rsid w:val="00707A69"/>
    <w:rsid w:val="00707DC6"/>
    <w:rsid w:val="0071220F"/>
    <w:rsid w:val="007128D1"/>
    <w:rsid w:val="007140FF"/>
    <w:rsid w:val="007176FF"/>
    <w:rsid w:val="007203D2"/>
    <w:rsid w:val="00722CDA"/>
    <w:rsid w:val="00722EA3"/>
    <w:rsid w:val="00723B7C"/>
    <w:rsid w:val="00723BEC"/>
    <w:rsid w:val="00723F15"/>
    <w:rsid w:val="00724D54"/>
    <w:rsid w:val="0072684F"/>
    <w:rsid w:val="00727EC2"/>
    <w:rsid w:val="007301CB"/>
    <w:rsid w:val="00732579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1405"/>
    <w:rsid w:val="00751C13"/>
    <w:rsid w:val="00752BE1"/>
    <w:rsid w:val="00757229"/>
    <w:rsid w:val="00757BFB"/>
    <w:rsid w:val="0076075C"/>
    <w:rsid w:val="00762D86"/>
    <w:rsid w:val="007667DE"/>
    <w:rsid w:val="007750B0"/>
    <w:rsid w:val="00776B50"/>
    <w:rsid w:val="00777931"/>
    <w:rsid w:val="007817A4"/>
    <w:rsid w:val="00783CA8"/>
    <w:rsid w:val="00784BBA"/>
    <w:rsid w:val="007864EC"/>
    <w:rsid w:val="00790657"/>
    <w:rsid w:val="007A1550"/>
    <w:rsid w:val="007A5E74"/>
    <w:rsid w:val="007A62AD"/>
    <w:rsid w:val="007B0575"/>
    <w:rsid w:val="007B1D4C"/>
    <w:rsid w:val="007B360D"/>
    <w:rsid w:val="007B5FB7"/>
    <w:rsid w:val="007C0EAA"/>
    <w:rsid w:val="007C3037"/>
    <w:rsid w:val="007C328A"/>
    <w:rsid w:val="007C3FF6"/>
    <w:rsid w:val="007C758D"/>
    <w:rsid w:val="007D4CC9"/>
    <w:rsid w:val="007D6252"/>
    <w:rsid w:val="007E4011"/>
    <w:rsid w:val="007F303A"/>
    <w:rsid w:val="007F44D6"/>
    <w:rsid w:val="007F517A"/>
    <w:rsid w:val="00800D73"/>
    <w:rsid w:val="0080446D"/>
    <w:rsid w:val="00805399"/>
    <w:rsid w:val="00806570"/>
    <w:rsid w:val="00807E69"/>
    <w:rsid w:val="00810AD7"/>
    <w:rsid w:val="0081237E"/>
    <w:rsid w:val="00812580"/>
    <w:rsid w:val="0081277E"/>
    <w:rsid w:val="00814B39"/>
    <w:rsid w:val="00817316"/>
    <w:rsid w:val="008177FA"/>
    <w:rsid w:val="00820BAC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61D02"/>
    <w:rsid w:val="00864723"/>
    <w:rsid w:val="00864E2F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6978"/>
    <w:rsid w:val="00897BB5"/>
    <w:rsid w:val="008A002D"/>
    <w:rsid w:val="008A1A41"/>
    <w:rsid w:val="008A289D"/>
    <w:rsid w:val="008A30F9"/>
    <w:rsid w:val="008A56E3"/>
    <w:rsid w:val="008B0A46"/>
    <w:rsid w:val="008B2C19"/>
    <w:rsid w:val="008C02DB"/>
    <w:rsid w:val="008C2E28"/>
    <w:rsid w:val="008C3C31"/>
    <w:rsid w:val="008C6DA9"/>
    <w:rsid w:val="008D02BE"/>
    <w:rsid w:val="008D3D81"/>
    <w:rsid w:val="008D4642"/>
    <w:rsid w:val="008D4902"/>
    <w:rsid w:val="008E1B87"/>
    <w:rsid w:val="008F66AB"/>
    <w:rsid w:val="008F6BB8"/>
    <w:rsid w:val="00900904"/>
    <w:rsid w:val="009014F6"/>
    <w:rsid w:val="00901A21"/>
    <w:rsid w:val="00903BC5"/>
    <w:rsid w:val="00911148"/>
    <w:rsid w:val="00911C69"/>
    <w:rsid w:val="00913304"/>
    <w:rsid w:val="0091419A"/>
    <w:rsid w:val="0092014C"/>
    <w:rsid w:val="0092168F"/>
    <w:rsid w:val="00922100"/>
    <w:rsid w:val="00923D78"/>
    <w:rsid w:val="00923F23"/>
    <w:rsid w:val="00926DD4"/>
    <w:rsid w:val="00927450"/>
    <w:rsid w:val="00932B2A"/>
    <w:rsid w:val="00932EFB"/>
    <w:rsid w:val="0093380B"/>
    <w:rsid w:val="00935C06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65EA1"/>
    <w:rsid w:val="00967613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1A66"/>
    <w:rsid w:val="009A2167"/>
    <w:rsid w:val="009A2E21"/>
    <w:rsid w:val="009A3191"/>
    <w:rsid w:val="009A4094"/>
    <w:rsid w:val="009A412C"/>
    <w:rsid w:val="009A4C2C"/>
    <w:rsid w:val="009A7AD5"/>
    <w:rsid w:val="009B27AE"/>
    <w:rsid w:val="009B30D4"/>
    <w:rsid w:val="009C28E0"/>
    <w:rsid w:val="009C688A"/>
    <w:rsid w:val="009C744F"/>
    <w:rsid w:val="009D0F0A"/>
    <w:rsid w:val="009D255C"/>
    <w:rsid w:val="009D7C0E"/>
    <w:rsid w:val="009E3AB5"/>
    <w:rsid w:val="009E5741"/>
    <w:rsid w:val="009E69B4"/>
    <w:rsid w:val="009F150E"/>
    <w:rsid w:val="009F15ED"/>
    <w:rsid w:val="009F30D7"/>
    <w:rsid w:val="009F5E3D"/>
    <w:rsid w:val="009F780D"/>
    <w:rsid w:val="00A0113C"/>
    <w:rsid w:val="00A031B6"/>
    <w:rsid w:val="00A036A0"/>
    <w:rsid w:val="00A04CB1"/>
    <w:rsid w:val="00A0611F"/>
    <w:rsid w:val="00A1064C"/>
    <w:rsid w:val="00A155CC"/>
    <w:rsid w:val="00A16826"/>
    <w:rsid w:val="00A23D14"/>
    <w:rsid w:val="00A241C7"/>
    <w:rsid w:val="00A313CA"/>
    <w:rsid w:val="00A31804"/>
    <w:rsid w:val="00A32B52"/>
    <w:rsid w:val="00A358FC"/>
    <w:rsid w:val="00A3644B"/>
    <w:rsid w:val="00A42D68"/>
    <w:rsid w:val="00A4308B"/>
    <w:rsid w:val="00A43A42"/>
    <w:rsid w:val="00A44D97"/>
    <w:rsid w:val="00A45247"/>
    <w:rsid w:val="00A500E2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4EA9"/>
    <w:rsid w:val="00A861A8"/>
    <w:rsid w:val="00A864A7"/>
    <w:rsid w:val="00A91F44"/>
    <w:rsid w:val="00A92C44"/>
    <w:rsid w:val="00A92E27"/>
    <w:rsid w:val="00A93075"/>
    <w:rsid w:val="00A944BD"/>
    <w:rsid w:val="00A94E77"/>
    <w:rsid w:val="00A960BC"/>
    <w:rsid w:val="00AA0402"/>
    <w:rsid w:val="00AA2155"/>
    <w:rsid w:val="00AA631C"/>
    <w:rsid w:val="00AB110F"/>
    <w:rsid w:val="00AB1379"/>
    <w:rsid w:val="00AB3D8E"/>
    <w:rsid w:val="00AB4CB1"/>
    <w:rsid w:val="00AB78DF"/>
    <w:rsid w:val="00AC3F40"/>
    <w:rsid w:val="00AC4695"/>
    <w:rsid w:val="00AC4DE7"/>
    <w:rsid w:val="00AC57E7"/>
    <w:rsid w:val="00AC5B21"/>
    <w:rsid w:val="00AC7DE3"/>
    <w:rsid w:val="00AD02D5"/>
    <w:rsid w:val="00AD24DB"/>
    <w:rsid w:val="00AD4220"/>
    <w:rsid w:val="00AD5A9C"/>
    <w:rsid w:val="00AD6216"/>
    <w:rsid w:val="00AD75AC"/>
    <w:rsid w:val="00AE22A9"/>
    <w:rsid w:val="00AE3042"/>
    <w:rsid w:val="00AE52DA"/>
    <w:rsid w:val="00AF45F8"/>
    <w:rsid w:val="00AF7922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54A9C"/>
    <w:rsid w:val="00B56008"/>
    <w:rsid w:val="00B6049F"/>
    <w:rsid w:val="00B61858"/>
    <w:rsid w:val="00B6299F"/>
    <w:rsid w:val="00B658B7"/>
    <w:rsid w:val="00B65907"/>
    <w:rsid w:val="00B65ACB"/>
    <w:rsid w:val="00B737CD"/>
    <w:rsid w:val="00B8169C"/>
    <w:rsid w:val="00B87718"/>
    <w:rsid w:val="00B87972"/>
    <w:rsid w:val="00B87AA8"/>
    <w:rsid w:val="00B917C3"/>
    <w:rsid w:val="00BA2726"/>
    <w:rsid w:val="00BA393E"/>
    <w:rsid w:val="00BA71C4"/>
    <w:rsid w:val="00BB3FE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D7ED1"/>
    <w:rsid w:val="00BE130B"/>
    <w:rsid w:val="00BE6160"/>
    <w:rsid w:val="00BF01C2"/>
    <w:rsid w:val="00BF6335"/>
    <w:rsid w:val="00C012CC"/>
    <w:rsid w:val="00C02E63"/>
    <w:rsid w:val="00C073D3"/>
    <w:rsid w:val="00C14F4A"/>
    <w:rsid w:val="00C16D36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66"/>
    <w:rsid w:val="00C662BF"/>
    <w:rsid w:val="00C66BFA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05C6"/>
    <w:rsid w:val="00CD5CFE"/>
    <w:rsid w:val="00CD6439"/>
    <w:rsid w:val="00CD7F9D"/>
    <w:rsid w:val="00CE0719"/>
    <w:rsid w:val="00CE35E2"/>
    <w:rsid w:val="00CE4EF3"/>
    <w:rsid w:val="00CE4F38"/>
    <w:rsid w:val="00CE6DE6"/>
    <w:rsid w:val="00CE7E53"/>
    <w:rsid w:val="00CF163E"/>
    <w:rsid w:val="00CF1A80"/>
    <w:rsid w:val="00CF4BCC"/>
    <w:rsid w:val="00CF6528"/>
    <w:rsid w:val="00D0195A"/>
    <w:rsid w:val="00D01F85"/>
    <w:rsid w:val="00D022FB"/>
    <w:rsid w:val="00D02AE7"/>
    <w:rsid w:val="00D02D37"/>
    <w:rsid w:val="00D03C0B"/>
    <w:rsid w:val="00D070A7"/>
    <w:rsid w:val="00D17242"/>
    <w:rsid w:val="00D207AC"/>
    <w:rsid w:val="00D220EF"/>
    <w:rsid w:val="00D25EA7"/>
    <w:rsid w:val="00D369FB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0818"/>
    <w:rsid w:val="00D6184F"/>
    <w:rsid w:val="00D6229C"/>
    <w:rsid w:val="00D63421"/>
    <w:rsid w:val="00D70EB5"/>
    <w:rsid w:val="00D72650"/>
    <w:rsid w:val="00D72789"/>
    <w:rsid w:val="00D73EF2"/>
    <w:rsid w:val="00D7424E"/>
    <w:rsid w:val="00D743A8"/>
    <w:rsid w:val="00D74E6E"/>
    <w:rsid w:val="00D7548A"/>
    <w:rsid w:val="00D813BA"/>
    <w:rsid w:val="00D82526"/>
    <w:rsid w:val="00D863AA"/>
    <w:rsid w:val="00D8691F"/>
    <w:rsid w:val="00D86FEE"/>
    <w:rsid w:val="00D90391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0CA4"/>
    <w:rsid w:val="00DD2583"/>
    <w:rsid w:val="00DD38FC"/>
    <w:rsid w:val="00DD393B"/>
    <w:rsid w:val="00DE0A0D"/>
    <w:rsid w:val="00DE2FED"/>
    <w:rsid w:val="00DE4030"/>
    <w:rsid w:val="00DE42BA"/>
    <w:rsid w:val="00DE5173"/>
    <w:rsid w:val="00DE6404"/>
    <w:rsid w:val="00DE7126"/>
    <w:rsid w:val="00DF1567"/>
    <w:rsid w:val="00DF1DD5"/>
    <w:rsid w:val="00DF35D4"/>
    <w:rsid w:val="00DF656C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6035"/>
    <w:rsid w:val="00E36756"/>
    <w:rsid w:val="00E41902"/>
    <w:rsid w:val="00E4204A"/>
    <w:rsid w:val="00E4336A"/>
    <w:rsid w:val="00E46AB2"/>
    <w:rsid w:val="00E50C01"/>
    <w:rsid w:val="00E50F67"/>
    <w:rsid w:val="00E51A14"/>
    <w:rsid w:val="00E529C0"/>
    <w:rsid w:val="00E52BE7"/>
    <w:rsid w:val="00E533BC"/>
    <w:rsid w:val="00E556EA"/>
    <w:rsid w:val="00E57DBC"/>
    <w:rsid w:val="00E600A4"/>
    <w:rsid w:val="00E61FAD"/>
    <w:rsid w:val="00E64EBB"/>
    <w:rsid w:val="00E7022F"/>
    <w:rsid w:val="00E703DF"/>
    <w:rsid w:val="00E76286"/>
    <w:rsid w:val="00E768A1"/>
    <w:rsid w:val="00E830D8"/>
    <w:rsid w:val="00E84E0D"/>
    <w:rsid w:val="00E86698"/>
    <w:rsid w:val="00E9165C"/>
    <w:rsid w:val="00E941F7"/>
    <w:rsid w:val="00E96B58"/>
    <w:rsid w:val="00E974ED"/>
    <w:rsid w:val="00EA3D22"/>
    <w:rsid w:val="00EA5D06"/>
    <w:rsid w:val="00EA63DE"/>
    <w:rsid w:val="00EB206A"/>
    <w:rsid w:val="00EB2D24"/>
    <w:rsid w:val="00EB3D87"/>
    <w:rsid w:val="00EB5A95"/>
    <w:rsid w:val="00EC1732"/>
    <w:rsid w:val="00EC3F66"/>
    <w:rsid w:val="00ED39FD"/>
    <w:rsid w:val="00ED684E"/>
    <w:rsid w:val="00EE2574"/>
    <w:rsid w:val="00EE44D0"/>
    <w:rsid w:val="00EE651B"/>
    <w:rsid w:val="00EE7B90"/>
    <w:rsid w:val="00EF1758"/>
    <w:rsid w:val="00EF6F8F"/>
    <w:rsid w:val="00F014E7"/>
    <w:rsid w:val="00F0360C"/>
    <w:rsid w:val="00F066B1"/>
    <w:rsid w:val="00F06AE8"/>
    <w:rsid w:val="00F07C08"/>
    <w:rsid w:val="00F10A10"/>
    <w:rsid w:val="00F149B8"/>
    <w:rsid w:val="00F223EE"/>
    <w:rsid w:val="00F23F24"/>
    <w:rsid w:val="00F24A15"/>
    <w:rsid w:val="00F24FAA"/>
    <w:rsid w:val="00F34395"/>
    <w:rsid w:val="00F35617"/>
    <w:rsid w:val="00F360A0"/>
    <w:rsid w:val="00F368AC"/>
    <w:rsid w:val="00F42D8E"/>
    <w:rsid w:val="00F43D50"/>
    <w:rsid w:val="00F53894"/>
    <w:rsid w:val="00F560E4"/>
    <w:rsid w:val="00F57F1D"/>
    <w:rsid w:val="00F62694"/>
    <w:rsid w:val="00F62810"/>
    <w:rsid w:val="00F63F01"/>
    <w:rsid w:val="00F64925"/>
    <w:rsid w:val="00F670EA"/>
    <w:rsid w:val="00F71B7A"/>
    <w:rsid w:val="00F7375F"/>
    <w:rsid w:val="00F80766"/>
    <w:rsid w:val="00F80BFD"/>
    <w:rsid w:val="00F811FC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C4E8A"/>
    <w:rsid w:val="00FD66E9"/>
    <w:rsid w:val="00FE01B1"/>
    <w:rsid w:val="00FE0BDF"/>
    <w:rsid w:val="00FE3468"/>
    <w:rsid w:val="00FE5300"/>
    <w:rsid w:val="00FE58FC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9666B1"/>
  <w15:docId w15:val="{915106D9-94E0-41EB-A2CA-CB264EB3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AD02D5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  <w:lang w:eastAsia="ar-SA"/>
    </w:rPr>
  </w:style>
  <w:style w:type="paragraph" w:styleId="Nadpis2">
    <w:name w:val="heading 2"/>
    <w:basedOn w:val="Normln"/>
    <w:next w:val="Normln"/>
    <w:qFormat/>
    <w:rsid w:val="00AD02D5"/>
    <w:pPr>
      <w:keepNext/>
      <w:numPr>
        <w:ilvl w:val="1"/>
        <w:numId w:val="1"/>
      </w:numPr>
      <w:spacing w:before="36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AD02D5"/>
    <w:pPr>
      <w:keepNext/>
      <w:numPr>
        <w:ilvl w:val="2"/>
        <w:numId w:val="1"/>
      </w:numPr>
      <w:spacing w:before="240" w:after="60"/>
      <w:ind w:left="851"/>
      <w:outlineLvl w:val="2"/>
    </w:pPr>
    <w:rPr>
      <w:rFonts w:cs="Arial"/>
      <w:b/>
      <w:bCs/>
      <w:color w:val="336699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spacing w:before="6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AD02D5"/>
    <w:rPr>
      <w:rFonts w:asciiTheme="minorHAnsi" w:hAnsiTheme="minorHAnsi" w:cs="Arial"/>
      <w:b/>
      <w:bCs/>
      <w:color w:val="336699"/>
      <w:kern w:val="32"/>
      <w:sz w:val="32"/>
      <w:szCs w:val="32"/>
      <w:lang w:eastAsia="ar-SA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Zkladntext">
    <w:name w:val="Body Text"/>
    <w:basedOn w:val="Normln"/>
    <w:link w:val="ZkladntextChar"/>
    <w:rsid w:val="00221D9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21D93"/>
    <w:rPr>
      <w:rFonts w:asciiTheme="minorHAnsi" w:hAnsiTheme="minorHAnsi"/>
      <w:sz w:val="22"/>
    </w:rPr>
  </w:style>
  <w:style w:type="paragraph" w:customStyle="1" w:styleId="normln0">
    <w:name w:val="normální"/>
    <w:basedOn w:val="Normln"/>
    <w:rsid w:val="00221D93"/>
    <w:pPr>
      <w:spacing w:before="0"/>
      <w:jc w:val="left"/>
    </w:pPr>
    <w:rPr>
      <w:rFonts w:ascii="Arial" w:hAnsi="Arial"/>
      <w:sz w:val="24"/>
    </w:rPr>
  </w:style>
  <w:style w:type="paragraph" w:styleId="Rozloendokumentu">
    <w:name w:val="Document Map"/>
    <w:basedOn w:val="Normln"/>
    <w:link w:val="RozloendokumentuChar"/>
    <w:rsid w:val="00D73EF2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D73EF2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A78A4"/>
    <w:rPr>
      <w:color w:val="808080"/>
    </w:rPr>
  </w:style>
  <w:style w:type="paragraph" w:styleId="Revize">
    <w:name w:val="Revision"/>
    <w:hidden/>
    <w:uiPriority w:val="99"/>
    <w:semiHidden/>
    <w:rsid w:val="00B737CD"/>
    <w:rPr>
      <w:rFonts w:asciiTheme="minorHAnsi" w:hAnsiTheme="minorHAnsi"/>
      <w:sz w:val="22"/>
    </w:rPr>
  </w:style>
  <w:style w:type="character" w:customStyle="1" w:styleId="Nadpis3Char">
    <w:name w:val="Nadpis 3 Char"/>
    <w:basedOn w:val="Standardnpsmoodstavce"/>
    <w:link w:val="Nadpis3"/>
    <w:rsid w:val="00584E97"/>
    <w:rPr>
      <w:rFonts w:asciiTheme="minorHAnsi" w:hAnsiTheme="minorHAnsi" w:cs="Arial"/>
      <w:b/>
      <w:bCs/>
      <w:color w:val="336699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BC6DF-7DB0-40A7-B2C5-63015B39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1296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PORSENNA o.p.s.</dc:creator>
  <cp:lastModifiedBy>Jiří Mazáček</cp:lastModifiedBy>
  <cp:revision>16</cp:revision>
  <cp:lastPrinted>2017-05-29T13:35:00Z</cp:lastPrinted>
  <dcterms:created xsi:type="dcterms:W3CDTF">2017-01-19T00:17:00Z</dcterms:created>
  <dcterms:modified xsi:type="dcterms:W3CDTF">2018-12-20T09:30:00Z</dcterms:modified>
</cp:coreProperties>
</file>